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03D94">
      <w:pPr>
        <w:pStyle w:val="7"/>
        <w:jc w:val="center"/>
        <w:outlineLvl w:val="0"/>
        <w:rPr>
          <w:rFonts w:ascii="Times New Roman" w:eastAsia="宋体"/>
          <w:sz w:val="44"/>
          <w:szCs w:val="44"/>
          <w:highlight w:val="none"/>
        </w:rPr>
      </w:pPr>
      <w:r>
        <w:rPr>
          <w:rFonts w:hint="eastAsia" w:ascii="Times New Roman" w:eastAsia="宋体"/>
          <w:sz w:val="44"/>
          <w:szCs w:val="44"/>
          <w:highlight w:val="none"/>
        </w:rPr>
        <w:t>竞争性谈判公告</w:t>
      </w:r>
    </w:p>
    <w:p w14:paraId="48574B21">
      <w:pPr>
        <w:pStyle w:val="9"/>
        <w:jc w:val="center"/>
        <w:rPr>
          <w:rFonts w:ascii="宋体" w:hAnsi="宋体" w:eastAsia="宋体" w:cs="宋体"/>
          <w:sz w:val="32"/>
          <w:szCs w:val="32"/>
          <w:highlight w:val="none"/>
          <w:lang w:bidi="ar"/>
        </w:rPr>
      </w:pPr>
      <w:r>
        <w:rPr>
          <w:rFonts w:hint="eastAsia" w:ascii="宋体" w:hAnsi="宋体" w:eastAsia="宋体" w:cs="宋体"/>
          <w:sz w:val="32"/>
          <w:szCs w:val="32"/>
          <w:highlight w:val="none"/>
          <w:lang w:val="en-US" w:eastAsia="zh-CN" w:bidi="ar"/>
        </w:rPr>
        <w:t>常州地区煤电技改类煤炭削减量指标的咨询采购服务</w:t>
      </w:r>
      <w:r>
        <w:rPr>
          <w:rFonts w:hint="eastAsia" w:ascii="宋体" w:hAnsi="宋体" w:eastAsia="宋体" w:cs="宋体"/>
          <w:sz w:val="32"/>
          <w:szCs w:val="32"/>
          <w:highlight w:val="none"/>
          <w:lang w:eastAsia="zh-CN" w:bidi="ar"/>
        </w:rPr>
        <w:t>-煤电技改类指标变现</w:t>
      </w:r>
      <w:r>
        <w:rPr>
          <w:rFonts w:hint="eastAsia" w:ascii="宋体" w:hAnsi="宋体" w:eastAsia="宋体" w:cs="宋体"/>
          <w:sz w:val="32"/>
          <w:szCs w:val="32"/>
          <w:highlight w:val="none"/>
          <w:lang w:bidi="ar"/>
        </w:rPr>
        <w:t>采购公告</w:t>
      </w:r>
    </w:p>
    <w:p w14:paraId="57EA0E33">
      <w:pPr>
        <w:pStyle w:val="10"/>
        <w:jc w:val="both"/>
        <w:outlineLvl w:val="1"/>
        <w:rPr>
          <w:rFonts w:ascii="Times New Roman" w:eastAsia="宋体"/>
          <w:sz w:val="32"/>
          <w:szCs w:val="32"/>
          <w:highlight w:val="none"/>
        </w:rPr>
      </w:pPr>
      <w:r>
        <w:rPr>
          <w:rFonts w:ascii="Times New Roman" w:eastAsia="宋体"/>
          <w:b/>
          <w:bCs/>
          <w:sz w:val="32"/>
          <w:szCs w:val="32"/>
          <w:highlight w:val="none"/>
        </w:rPr>
        <w:t xml:space="preserve">1. </w:t>
      </w:r>
      <w:r>
        <w:rPr>
          <w:rFonts w:hint="eastAsia" w:ascii="Times New Roman" w:eastAsia="宋体"/>
          <w:b/>
          <w:bCs/>
          <w:sz w:val="32"/>
          <w:szCs w:val="32"/>
          <w:highlight w:val="none"/>
        </w:rPr>
        <w:t>谈判条件</w:t>
      </w:r>
    </w:p>
    <w:p w14:paraId="492F92DE">
      <w:pPr>
        <w:pStyle w:val="10"/>
        <w:spacing w:line="400" w:lineRule="atLeast"/>
        <w:ind w:firstLine="420" w:firstLineChars="200"/>
        <w:jc w:val="both"/>
        <w:rPr>
          <w:rFonts w:ascii="Times New Roman" w:eastAsia="宋体"/>
          <w:sz w:val="21"/>
          <w:szCs w:val="21"/>
          <w:highlight w:val="none"/>
        </w:rPr>
      </w:pPr>
      <w:r>
        <w:rPr>
          <w:rFonts w:hint="eastAsia" w:ascii="Times New Roman" w:eastAsia="宋体"/>
          <w:sz w:val="21"/>
          <w:szCs w:val="21"/>
          <w:highlight w:val="none"/>
        </w:rPr>
        <w:t>北京中城汇能咨询服务有限公司受</w:t>
      </w:r>
      <w:r>
        <w:rPr>
          <w:sz w:val="21"/>
          <w:szCs w:val="21"/>
          <w:highlight w:val="none"/>
        </w:rPr>
        <w:t>上海电气（江苏）综合能源服务有限公司</w:t>
      </w:r>
      <w:r>
        <w:rPr>
          <w:rFonts w:hint="eastAsia" w:ascii="Times New Roman" w:eastAsia="宋体"/>
          <w:sz w:val="21"/>
          <w:szCs w:val="21"/>
          <w:highlight w:val="none"/>
        </w:rPr>
        <w:t>的委托，现对</w:t>
      </w:r>
      <w:r>
        <w:rPr>
          <w:rFonts w:hint="eastAsia" w:ascii="Times New Roman" w:eastAsia="宋体"/>
          <w:sz w:val="21"/>
          <w:szCs w:val="21"/>
          <w:highlight w:val="none"/>
          <w:lang w:val="en-US" w:eastAsia="zh-CN"/>
        </w:rPr>
        <w:t>常州地区煤电技改类煤炭削减量指标的咨询采购服务</w:t>
      </w:r>
      <w:r>
        <w:rPr>
          <w:rFonts w:hint="eastAsia" w:eastAsia="宋体"/>
          <w:sz w:val="21"/>
          <w:szCs w:val="21"/>
          <w:highlight w:val="none"/>
          <w:lang w:eastAsia="zh-CN"/>
        </w:rPr>
        <w:t>-煤电技改类指标变现</w:t>
      </w:r>
      <w:r>
        <w:rPr>
          <w:rFonts w:hint="eastAsia" w:ascii="Times New Roman" w:eastAsia="宋体"/>
          <w:sz w:val="21"/>
          <w:szCs w:val="21"/>
          <w:highlight w:val="none"/>
        </w:rPr>
        <w:t>（谈判编号：</w:t>
      </w:r>
      <w:r>
        <w:rPr>
          <w:rFonts w:hint="eastAsia" w:eastAsia="宋体"/>
          <w:sz w:val="21"/>
          <w:szCs w:val="21"/>
          <w:highlight w:val="none"/>
          <w:lang w:eastAsia="zh-CN"/>
        </w:rPr>
        <w:t>ZCHN-FW-2025-0</w:t>
      </w:r>
      <w:r>
        <w:rPr>
          <w:rFonts w:hint="eastAsia" w:eastAsia="宋体"/>
          <w:sz w:val="21"/>
          <w:szCs w:val="21"/>
          <w:highlight w:val="none"/>
          <w:lang w:val="en-US" w:eastAsia="zh-CN"/>
        </w:rPr>
        <w:t>8</w:t>
      </w:r>
      <w:r>
        <w:rPr>
          <w:rFonts w:hint="eastAsia" w:eastAsia="宋体"/>
          <w:sz w:val="21"/>
          <w:szCs w:val="21"/>
          <w:highlight w:val="none"/>
          <w:lang w:eastAsia="zh-CN"/>
        </w:rPr>
        <w:t>-00</w:t>
      </w:r>
      <w:r>
        <w:rPr>
          <w:rFonts w:hint="eastAsia" w:eastAsia="宋体"/>
          <w:sz w:val="21"/>
          <w:szCs w:val="21"/>
          <w:highlight w:val="none"/>
          <w:lang w:val="en-US" w:eastAsia="zh-CN"/>
        </w:rPr>
        <w:t>2</w:t>
      </w:r>
      <w:r>
        <w:rPr>
          <w:rFonts w:hint="eastAsia" w:eastAsia="宋体"/>
          <w:sz w:val="21"/>
          <w:szCs w:val="21"/>
          <w:highlight w:val="none"/>
          <w:lang w:eastAsia="zh-CN"/>
        </w:rPr>
        <w:t>-GKJ</w:t>
      </w:r>
      <w:r>
        <w:rPr>
          <w:rFonts w:hint="eastAsia" w:ascii="Times New Roman" w:eastAsia="宋体"/>
          <w:sz w:val="21"/>
          <w:szCs w:val="21"/>
          <w:highlight w:val="none"/>
        </w:rPr>
        <w:t>）进行国内公开谈判，资金来源：企业自筹。欢迎合格应答人参加投标。</w:t>
      </w:r>
    </w:p>
    <w:p w14:paraId="41222E68">
      <w:pPr>
        <w:pStyle w:val="10"/>
        <w:jc w:val="both"/>
        <w:outlineLvl w:val="1"/>
        <w:rPr>
          <w:rFonts w:ascii="Times New Roman" w:eastAsia="宋体"/>
          <w:sz w:val="32"/>
          <w:szCs w:val="32"/>
          <w:highlight w:val="none"/>
        </w:rPr>
      </w:pPr>
      <w:r>
        <w:rPr>
          <w:rFonts w:ascii="Times New Roman" w:eastAsia="宋体"/>
          <w:b/>
          <w:bCs/>
          <w:sz w:val="32"/>
          <w:szCs w:val="32"/>
          <w:highlight w:val="none"/>
        </w:rPr>
        <w:t xml:space="preserve">2. </w:t>
      </w:r>
      <w:r>
        <w:rPr>
          <w:rFonts w:hint="eastAsia" w:ascii="Times New Roman" w:eastAsia="宋体"/>
          <w:b/>
          <w:bCs/>
          <w:sz w:val="32"/>
          <w:szCs w:val="32"/>
          <w:highlight w:val="none"/>
        </w:rPr>
        <w:t>谈判范围</w:t>
      </w:r>
    </w:p>
    <w:p w14:paraId="575B2ADD">
      <w:pPr>
        <w:spacing w:line="360" w:lineRule="auto"/>
        <w:ind w:firstLine="420" w:firstLineChars="200"/>
        <w:rPr>
          <w:highlight w:val="none"/>
        </w:rPr>
      </w:pPr>
      <w:r>
        <w:rPr>
          <w:highlight w:val="none"/>
        </w:rPr>
        <w:t>1</w:t>
      </w:r>
      <w:r>
        <w:rPr>
          <w:rFonts w:hint="eastAsia"/>
          <w:highlight w:val="none"/>
        </w:rPr>
        <w:t>、采购项目的名称：</w:t>
      </w:r>
      <w:r>
        <w:rPr>
          <w:rFonts w:hint="eastAsia" w:ascii="Times New Roman" w:eastAsia="宋体"/>
          <w:sz w:val="21"/>
          <w:szCs w:val="21"/>
          <w:highlight w:val="none"/>
          <w:lang w:val="en-US" w:eastAsia="zh-CN"/>
        </w:rPr>
        <w:t>常州地区煤电技改类煤炭削减量指标的咨询采购服务</w:t>
      </w:r>
      <w:r>
        <w:rPr>
          <w:rFonts w:hint="eastAsia"/>
          <w:szCs w:val="21"/>
          <w:highlight w:val="none"/>
          <w:lang w:eastAsia="zh-CN"/>
        </w:rPr>
        <w:t>-煤电技改类指标变现</w:t>
      </w:r>
      <w:r>
        <w:rPr>
          <w:rFonts w:hint="eastAsia"/>
          <w:highlight w:val="none"/>
        </w:rPr>
        <w:t>。</w:t>
      </w:r>
    </w:p>
    <w:p w14:paraId="5F884D61">
      <w:pPr>
        <w:spacing w:line="360" w:lineRule="auto"/>
        <w:ind w:firstLine="420" w:firstLineChars="200"/>
        <w:rPr>
          <w:rFonts w:hint="eastAsia" w:eastAsia="宋体"/>
          <w:highlight w:val="none"/>
          <w:lang w:val="en-US" w:eastAsia="zh-CN"/>
        </w:rPr>
      </w:pPr>
      <w:r>
        <w:rPr>
          <w:rFonts w:hint="eastAsia"/>
          <w:highlight w:val="none"/>
        </w:rPr>
        <w:t>2、谈判范围：煤电技改类指标变现</w:t>
      </w:r>
      <w:r>
        <w:rPr>
          <w:rFonts w:hint="eastAsia"/>
          <w:highlight w:val="none"/>
          <w:lang w:eastAsia="zh-CN"/>
        </w:rPr>
        <w:t>。</w:t>
      </w:r>
    </w:p>
    <w:p w14:paraId="0B0D6E10">
      <w:pPr>
        <w:spacing w:line="360" w:lineRule="auto"/>
        <w:ind w:firstLine="420" w:firstLineChars="200"/>
        <w:rPr>
          <w:rFonts w:hint="eastAsia" w:eastAsia="宋体"/>
          <w:highlight w:val="none"/>
          <w:lang w:eastAsia="zh-CN"/>
        </w:rPr>
      </w:pPr>
      <w:r>
        <w:rPr>
          <w:rFonts w:hint="eastAsia"/>
          <w:highlight w:val="none"/>
        </w:rPr>
        <w:t>3、</w:t>
      </w:r>
      <w:r>
        <w:rPr>
          <w:rFonts w:hint="eastAsia"/>
          <w:highlight w:val="none"/>
          <w:lang w:val="en-US" w:eastAsia="zh-CN"/>
        </w:rPr>
        <w:t>开工</w:t>
      </w:r>
      <w:r>
        <w:rPr>
          <w:rFonts w:hint="eastAsia"/>
          <w:highlight w:val="none"/>
        </w:rPr>
        <w:t>地点：</w:t>
      </w:r>
      <w:r>
        <w:rPr>
          <w:rFonts w:hint="eastAsia" w:asciiTheme="minorEastAsia" w:hAnsiTheme="minorEastAsia" w:eastAsiaTheme="minorEastAsia"/>
          <w:bCs/>
          <w:szCs w:val="21"/>
          <w:highlight w:val="none"/>
          <w:lang w:val="en-US" w:eastAsia="zh-CN"/>
        </w:rPr>
        <w:t>/。</w:t>
      </w:r>
    </w:p>
    <w:p w14:paraId="1D441DE7">
      <w:pPr>
        <w:spacing w:line="360" w:lineRule="auto"/>
        <w:ind w:left="420"/>
        <w:rPr>
          <w:highlight w:val="none"/>
        </w:rPr>
      </w:pPr>
      <w:r>
        <w:rPr>
          <w:rFonts w:hint="eastAsia"/>
          <w:highlight w:val="none"/>
        </w:rPr>
        <w:t>4、总工期：</w:t>
      </w:r>
      <w:r>
        <w:rPr>
          <w:rFonts w:hint="eastAsia"/>
          <w:highlight w:val="none"/>
          <w:lang w:val="en-US" w:eastAsia="zh-CN"/>
        </w:rPr>
        <w:t>1个月</w:t>
      </w:r>
      <w:r>
        <w:rPr>
          <w:rFonts w:hint="eastAsia"/>
          <w:highlight w:val="none"/>
          <w:lang w:eastAsia="zh-CN"/>
        </w:rPr>
        <w:t>。</w:t>
      </w:r>
      <w:r>
        <w:rPr>
          <w:highlight w:val="none"/>
        </w:rPr>
        <w:t xml:space="preserve"> </w:t>
      </w:r>
    </w:p>
    <w:p w14:paraId="593BE256">
      <w:pPr>
        <w:spacing w:line="360" w:lineRule="auto"/>
        <w:ind w:left="420"/>
        <w:rPr>
          <w:highlight w:val="none"/>
        </w:rPr>
      </w:pPr>
      <w:r>
        <w:rPr>
          <w:highlight w:val="none"/>
        </w:rPr>
        <w:t>5</w:t>
      </w:r>
      <w:r>
        <w:rPr>
          <w:rFonts w:hint="eastAsia"/>
          <w:highlight w:val="none"/>
        </w:rPr>
        <w:t>、质量要求：</w:t>
      </w:r>
      <w:r>
        <w:rPr>
          <w:rFonts w:hint="eastAsia" w:asciiTheme="minorEastAsia" w:hAnsiTheme="minorEastAsia"/>
          <w:bCs/>
          <w:szCs w:val="21"/>
          <w:highlight w:val="none"/>
          <w:lang w:eastAsia="zh-CN"/>
        </w:rPr>
        <w:t>达到行业主管部门认可，且总量偏差不超过</w:t>
      </w:r>
      <w:r>
        <w:rPr>
          <w:rFonts w:hint="eastAsia" w:asciiTheme="minorEastAsia" w:hAnsiTheme="minorEastAsia"/>
          <w:bCs/>
          <w:szCs w:val="21"/>
          <w:highlight w:val="none"/>
          <w:lang w:val="en-US" w:eastAsia="zh-CN"/>
        </w:rPr>
        <w:t>5</w:t>
      </w:r>
      <w:r>
        <w:rPr>
          <w:rFonts w:hint="eastAsia" w:asciiTheme="minorEastAsia" w:hAnsiTheme="minorEastAsia"/>
          <w:bCs/>
          <w:szCs w:val="21"/>
          <w:highlight w:val="none"/>
          <w:lang w:eastAsia="zh-CN"/>
        </w:rPr>
        <w:t>%</w:t>
      </w:r>
      <w:r>
        <w:rPr>
          <w:rFonts w:hint="eastAsia"/>
          <w:highlight w:val="none"/>
          <w:lang w:eastAsia="zh-CN"/>
        </w:rPr>
        <w:t>。</w:t>
      </w:r>
    </w:p>
    <w:p w14:paraId="29926F96">
      <w:pPr>
        <w:spacing w:line="360" w:lineRule="auto"/>
        <w:ind w:left="420"/>
        <w:rPr>
          <w:rFonts w:hint="eastAsia" w:eastAsia="宋体"/>
          <w:color w:val="FF0000"/>
          <w:highlight w:val="none"/>
          <w:lang w:eastAsia="zh-CN"/>
        </w:rPr>
      </w:pPr>
      <w:r>
        <w:rPr>
          <w:rFonts w:hint="eastAsia"/>
          <w:highlight w:val="none"/>
          <w:lang w:val="en-US" w:eastAsia="zh-CN"/>
        </w:rPr>
        <w:t>6</w:t>
      </w:r>
      <w:r>
        <w:rPr>
          <w:rFonts w:hint="eastAsia"/>
          <w:highlight w:val="none"/>
        </w:rPr>
        <w:t>、项目报价方式：</w:t>
      </w:r>
      <w:r>
        <w:rPr>
          <w:rFonts w:hint="eastAsia"/>
          <w:highlight w:val="none"/>
          <w:lang w:val="en-US" w:eastAsia="zh-CN"/>
        </w:rPr>
        <w:t>单价。</w:t>
      </w:r>
      <w:r>
        <w:rPr>
          <w:highlight w:val="none"/>
        </w:rPr>
        <w:t xml:space="preserve">  </w:t>
      </w:r>
    </w:p>
    <w:p w14:paraId="0ADFFBD1">
      <w:pPr>
        <w:snapToGrid w:val="0"/>
        <w:spacing w:line="360" w:lineRule="auto"/>
        <w:ind w:firstLine="420" w:firstLineChars="200"/>
        <w:rPr>
          <w:rFonts w:hint="eastAsia"/>
          <w:highlight w:val="none"/>
          <w:lang w:val="en-US" w:eastAsia="zh-CN"/>
        </w:rPr>
      </w:pPr>
      <w:r>
        <w:rPr>
          <w:rFonts w:hint="eastAsia"/>
          <w:highlight w:val="none"/>
          <w:lang w:val="en-US" w:eastAsia="zh-CN"/>
        </w:rPr>
        <w:t>7、采购范围：</w:t>
      </w:r>
    </w:p>
    <w:p w14:paraId="1656BA55">
      <w:pPr>
        <w:spacing w:line="360" w:lineRule="auto"/>
        <w:ind w:left="420"/>
        <w:rPr>
          <w:rFonts w:hint="eastAsia"/>
          <w:highlight w:val="none"/>
        </w:rPr>
      </w:pPr>
      <w:r>
        <w:rPr>
          <w:rFonts w:hint="eastAsia"/>
          <w:color w:val="000000"/>
          <w:highlight w:val="none"/>
          <w:lang w:val="en-US" w:eastAsia="zh-CN"/>
        </w:rPr>
        <w:t>常州地区煤电技改类煤炭削减量指标的咨询采购服务</w:t>
      </w:r>
      <w:r>
        <w:rPr>
          <w:rFonts w:hint="eastAsia"/>
          <w:color w:val="000000"/>
          <w:highlight w:val="none"/>
        </w:rPr>
        <w:t>现需要寻找江苏省有效期内的煤炭削减量现货指标约</w:t>
      </w:r>
      <w:r>
        <w:rPr>
          <w:rFonts w:hint="eastAsia"/>
          <w:color w:val="000000"/>
          <w:highlight w:val="none"/>
          <w:lang w:val="en-US" w:eastAsia="zh-CN"/>
        </w:rPr>
        <w:t>15</w:t>
      </w:r>
      <w:r>
        <w:rPr>
          <w:rFonts w:hint="eastAsia"/>
          <w:color w:val="000000"/>
          <w:highlight w:val="none"/>
        </w:rPr>
        <w:t>万吨标准煤，以满足项目并网需求。投标人需要对</w:t>
      </w:r>
      <w:r>
        <w:rPr>
          <w:rFonts w:hint="eastAsia"/>
          <w:color w:val="000000"/>
          <w:highlight w:val="none"/>
          <w:lang w:val="en-US" w:eastAsia="zh-CN"/>
        </w:rPr>
        <w:t>常州地区煤电技改类煤炭削减量指标的咨询采购服务</w:t>
      </w:r>
      <w:r>
        <w:rPr>
          <w:rFonts w:hint="eastAsia"/>
          <w:color w:val="000000"/>
          <w:highlight w:val="none"/>
        </w:rPr>
        <w:t>落实所需煤炭现货指标进行全过程服务，统筹发掘全省范围内符合要求的煤电技改类现货指标，并对其进行全过程服务，包括指标寻找、评估、认定及划拨、协助收购等内容，具体工作内容如下</w:t>
      </w:r>
      <w:r>
        <w:rPr>
          <w:rFonts w:hint="eastAsia"/>
          <w:highlight w:val="none"/>
        </w:rPr>
        <w:t>：</w:t>
      </w:r>
    </w:p>
    <w:p w14:paraId="1CC02B9F">
      <w:pPr>
        <w:spacing w:line="360" w:lineRule="auto"/>
        <w:ind w:left="420"/>
        <w:rPr>
          <w:rFonts w:hint="eastAsia"/>
          <w:highlight w:val="none"/>
        </w:rPr>
      </w:pPr>
      <w:r>
        <w:rPr>
          <w:rFonts w:hint="eastAsia"/>
          <w:highlight w:val="none"/>
        </w:rPr>
        <w:t>1、煤炭削减量现货指标寻找</w:t>
      </w:r>
    </w:p>
    <w:p w14:paraId="47CC1DF6">
      <w:pPr>
        <w:spacing w:line="360" w:lineRule="auto"/>
        <w:ind w:left="420"/>
        <w:rPr>
          <w:rFonts w:hint="eastAsia"/>
          <w:highlight w:val="none"/>
        </w:rPr>
      </w:pPr>
      <w:r>
        <w:rPr>
          <w:rFonts w:hint="eastAsia"/>
          <w:highlight w:val="none"/>
        </w:rPr>
        <w:t>根据拟定煤炭削减量需求量计划，在江苏省范围内寻找煤电技改类煤炭削减量现货指标</w:t>
      </w:r>
      <w:r>
        <w:rPr>
          <w:rFonts w:hint="eastAsia"/>
          <w:highlight w:val="none"/>
          <w:lang w:val="en-US" w:eastAsia="zh-CN"/>
        </w:rPr>
        <w:t>15</w:t>
      </w:r>
      <w:r>
        <w:rPr>
          <w:rFonts w:hint="eastAsia"/>
          <w:highlight w:val="none"/>
        </w:rPr>
        <w:t>万吨标准煤，完成煤炭削减量现货指标企业调拨手续。</w:t>
      </w:r>
    </w:p>
    <w:p w14:paraId="1EE2B2C6">
      <w:pPr>
        <w:spacing w:line="360" w:lineRule="auto"/>
        <w:ind w:left="420"/>
        <w:rPr>
          <w:rFonts w:hint="eastAsia"/>
          <w:highlight w:val="none"/>
        </w:rPr>
      </w:pPr>
      <w:r>
        <w:rPr>
          <w:rFonts w:hint="eastAsia"/>
          <w:highlight w:val="none"/>
        </w:rPr>
        <w:t>2、煤炭削减量现货指标评估</w:t>
      </w:r>
    </w:p>
    <w:p w14:paraId="22CB92D5">
      <w:pPr>
        <w:spacing w:line="360" w:lineRule="auto"/>
        <w:ind w:left="420"/>
        <w:rPr>
          <w:rFonts w:hint="eastAsia"/>
          <w:highlight w:val="none"/>
        </w:rPr>
      </w:pPr>
      <w:r>
        <w:rPr>
          <w:rFonts w:hint="eastAsia"/>
          <w:highlight w:val="none"/>
        </w:rPr>
        <w:t>根据调研情况，按照省级主管部门要求的评估方法对相关煤电企业煤炭削减量现货指标进行评估，形成煤炭削减量评估报告。</w:t>
      </w:r>
    </w:p>
    <w:p w14:paraId="7265BB62">
      <w:pPr>
        <w:spacing w:line="360" w:lineRule="auto"/>
        <w:ind w:left="420"/>
        <w:rPr>
          <w:rFonts w:hint="eastAsia"/>
          <w:highlight w:val="none"/>
        </w:rPr>
      </w:pPr>
      <w:r>
        <w:rPr>
          <w:rFonts w:hint="eastAsia"/>
          <w:highlight w:val="none"/>
        </w:rPr>
        <w:t>3、煤炭削减量现货指标认定</w:t>
      </w:r>
    </w:p>
    <w:p w14:paraId="0925D542">
      <w:pPr>
        <w:spacing w:line="360" w:lineRule="auto"/>
        <w:ind w:left="420"/>
        <w:rPr>
          <w:rFonts w:hint="eastAsia"/>
          <w:highlight w:val="none"/>
        </w:rPr>
      </w:pPr>
      <w:r>
        <w:rPr>
          <w:rFonts w:hint="eastAsia"/>
          <w:highlight w:val="none"/>
        </w:rPr>
        <w:t>协助煤炭削减量现货指标所属单位行文并报送煤炭削减量评估报告至能源主管部门，同时委托专业第三方机构按照能源主管部门的要求出具评估认定意见，按照苏政办发〔2016〕5号文</w:t>
      </w:r>
      <w:r>
        <w:rPr>
          <w:rFonts w:hint="eastAsia"/>
          <w:highlight w:val="none"/>
          <w:lang w:eastAsia="zh-CN"/>
        </w:rPr>
        <w:t>、</w:t>
      </w:r>
      <w:r>
        <w:rPr>
          <w:rFonts w:hint="eastAsia"/>
          <w:highlight w:val="none"/>
          <w:lang w:val="en-US" w:eastAsia="zh-CN"/>
        </w:rPr>
        <w:t>苏发改能源发</w:t>
      </w:r>
      <w:r>
        <w:rPr>
          <w:rFonts w:hint="eastAsia"/>
          <w:highlight w:val="none"/>
        </w:rPr>
        <w:t>〔20</w:t>
      </w:r>
      <w:r>
        <w:rPr>
          <w:rFonts w:hint="eastAsia"/>
          <w:highlight w:val="none"/>
          <w:lang w:val="en-US" w:eastAsia="zh-CN"/>
        </w:rPr>
        <w:t>25</w:t>
      </w:r>
      <w:r>
        <w:rPr>
          <w:rFonts w:hint="eastAsia"/>
          <w:highlight w:val="none"/>
        </w:rPr>
        <w:t>〕</w:t>
      </w:r>
      <w:r>
        <w:rPr>
          <w:rFonts w:hint="eastAsia"/>
          <w:highlight w:val="none"/>
          <w:lang w:val="en-US" w:eastAsia="zh-CN"/>
        </w:rPr>
        <w:t>431号文</w:t>
      </w:r>
      <w:r>
        <w:rPr>
          <w:rFonts w:hint="eastAsia"/>
          <w:highlight w:val="none"/>
        </w:rPr>
        <w:t>要求完成煤炭削减量现货指标的认定工作。</w:t>
      </w:r>
    </w:p>
    <w:p w14:paraId="445B0472">
      <w:pPr>
        <w:spacing w:line="360" w:lineRule="auto"/>
        <w:ind w:left="420"/>
        <w:rPr>
          <w:rFonts w:hint="eastAsia"/>
          <w:highlight w:val="none"/>
        </w:rPr>
      </w:pPr>
      <w:r>
        <w:rPr>
          <w:rFonts w:hint="eastAsia"/>
          <w:highlight w:val="none"/>
        </w:rPr>
        <w:t>4、煤炭削减量现货指标收购及调拨</w:t>
      </w:r>
    </w:p>
    <w:p w14:paraId="5C4E7320">
      <w:pPr>
        <w:spacing w:line="360" w:lineRule="auto"/>
        <w:ind w:left="420"/>
        <w:rPr>
          <w:highlight w:val="none"/>
        </w:rPr>
      </w:pPr>
      <w:r>
        <w:rPr>
          <w:rFonts w:hint="eastAsia"/>
          <w:highlight w:val="none"/>
        </w:rPr>
        <w:t>协助建设单位与本次涉及的煤炭削减量现货指标权属企业签订煤炭削减量现货指标收购协议，按照苏政办发〔2016〕5号文</w:t>
      </w:r>
      <w:r>
        <w:rPr>
          <w:rFonts w:hint="eastAsia"/>
          <w:highlight w:val="none"/>
          <w:lang w:eastAsia="zh-CN"/>
        </w:rPr>
        <w:t>、</w:t>
      </w:r>
      <w:r>
        <w:rPr>
          <w:rFonts w:hint="eastAsia"/>
          <w:highlight w:val="none"/>
          <w:lang w:val="en-US" w:eastAsia="zh-CN"/>
        </w:rPr>
        <w:t>苏发改能源发</w:t>
      </w:r>
      <w:r>
        <w:rPr>
          <w:rFonts w:hint="eastAsia"/>
          <w:highlight w:val="none"/>
        </w:rPr>
        <w:t>〔20</w:t>
      </w:r>
      <w:r>
        <w:rPr>
          <w:rFonts w:hint="eastAsia"/>
          <w:highlight w:val="none"/>
          <w:lang w:val="en-US" w:eastAsia="zh-CN"/>
        </w:rPr>
        <w:t>25</w:t>
      </w:r>
      <w:r>
        <w:rPr>
          <w:rFonts w:hint="eastAsia"/>
          <w:highlight w:val="none"/>
        </w:rPr>
        <w:t>〕</w:t>
      </w:r>
      <w:r>
        <w:rPr>
          <w:rFonts w:hint="eastAsia"/>
          <w:highlight w:val="none"/>
          <w:lang w:val="en-US" w:eastAsia="zh-CN"/>
        </w:rPr>
        <w:t>431号文</w:t>
      </w:r>
      <w:r>
        <w:rPr>
          <w:rFonts w:hint="eastAsia"/>
          <w:highlight w:val="none"/>
        </w:rPr>
        <w:t>要求完成指标调拨手续。</w:t>
      </w:r>
    </w:p>
    <w:p w14:paraId="71CF9D10">
      <w:pPr>
        <w:spacing w:line="360" w:lineRule="auto"/>
        <w:ind w:left="420"/>
        <w:rPr>
          <w:b/>
          <w:bCs/>
          <w:sz w:val="32"/>
          <w:szCs w:val="32"/>
          <w:highlight w:val="none"/>
        </w:rPr>
      </w:pPr>
      <w:r>
        <w:rPr>
          <w:b/>
          <w:bCs/>
          <w:sz w:val="32"/>
          <w:szCs w:val="32"/>
          <w:highlight w:val="none"/>
        </w:rPr>
        <w:t xml:space="preserve">3. </w:t>
      </w:r>
      <w:r>
        <w:rPr>
          <w:rFonts w:hint="eastAsia"/>
          <w:b/>
          <w:bCs/>
          <w:sz w:val="32"/>
          <w:szCs w:val="32"/>
          <w:highlight w:val="none"/>
        </w:rPr>
        <w:t>应答人资格要求</w:t>
      </w:r>
    </w:p>
    <w:p w14:paraId="44C96B45">
      <w:pPr>
        <w:spacing w:line="360" w:lineRule="auto"/>
        <w:ind w:firstLine="420" w:firstLineChars="200"/>
        <w:rPr>
          <w:highlight w:val="none"/>
        </w:rPr>
      </w:pPr>
      <w:r>
        <w:rPr>
          <w:rFonts w:hint="eastAsia"/>
          <w:highlight w:val="none"/>
        </w:rPr>
        <w:t>本谈判项目资格审查方式采</w:t>
      </w:r>
      <w:r>
        <w:rPr>
          <w:rFonts w:hint="eastAsia"/>
          <w:color w:val="000000" w:themeColor="text1"/>
          <w:highlight w:val="none"/>
          <w14:textFill>
            <w14:solidFill>
              <w14:schemeClr w14:val="tx1"/>
            </w14:solidFill>
          </w14:textFill>
        </w:rPr>
        <w:t>用资格后审</w:t>
      </w:r>
      <w:r>
        <w:rPr>
          <w:rFonts w:hint="eastAsia"/>
          <w:highlight w:val="none"/>
        </w:rPr>
        <w:t>。</w:t>
      </w:r>
    </w:p>
    <w:p w14:paraId="7E2504AA">
      <w:pPr>
        <w:spacing w:line="360" w:lineRule="auto"/>
        <w:ind w:firstLine="422" w:firstLineChars="200"/>
        <w:rPr>
          <w:b/>
          <w:bCs/>
          <w:highlight w:val="none"/>
        </w:rPr>
      </w:pPr>
      <w:r>
        <w:rPr>
          <w:rFonts w:hint="eastAsia"/>
          <w:b/>
          <w:bCs/>
          <w:highlight w:val="none"/>
        </w:rPr>
        <w:t>3.1应答人须满足如下通用资格要求：</w:t>
      </w:r>
    </w:p>
    <w:p w14:paraId="6D30DC59">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应答人必须在中国境内注册并具备独立法人资格，且招标内容在其营业执照的覆盖范围内；</w:t>
      </w:r>
    </w:p>
    <w:p w14:paraId="0682466F">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应答</w:t>
      </w:r>
      <w:r>
        <w:rPr>
          <w:rFonts w:asciiTheme="minorEastAsia" w:hAnsiTheme="minorEastAsia" w:eastAsiaTheme="minorEastAsia"/>
          <w:szCs w:val="21"/>
          <w:highlight w:val="none"/>
        </w:rPr>
        <w:t>授权委托人是本企业固定在职、在册人员</w:t>
      </w:r>
      <w:r>
        <w:rPr>
          <w:rFonts w:hint="eastAsia" w:asciiTheme="minorEastAsia" w:hAnsiTheme="minorEastAsia" w:eastAsiaTheme="minorEastAsia"/>
          <w:szCs w:val="21"/>
          <w:highlight w:val="none"/>
        </w:rPr>
        <w:t>或劳务派遣人员，应答</w:t>
      </w:r>
      <w:r>
        <w:rPr>
          <w:rFonts w:asciiTheme="minorEastAsia" w:hAnsiTheme="minorEastAsia" w:eastAsiaTheme="minorEastAsia"/>
          <w:szCs w:val="21"/>
          <w:highlight w:val="none"/>
        </w:rPr>
        <w:t>授权委托人</w:t>
      </w:r>
      <w:r>
        <w:rPr>
          <w:rFonts w:hint="eastAsia" w:asciiTheme="minorEastAsia" w:hAnsiTheme="minorEastAsia" w:eastAsiaTheme="minorEastAsia"/>
          <w:szCs w:val="21"/>
          <w:highlight w:val="none"/>
        </w:rPr>
        <w:t>（非法人代表）须得到应答人书面授权</w:t>
      </w:r>
      <w:r>
        <w:rPr>
          <w:rFonts w:asciiTheme="minorEastAsia" w:hAnsiTheme="minorEastAsia" w:eastAsiaTheme="minorEastAsia"/>
          <w:szCs w:val="21"/>
          <w:highlight w:val="none"/>
        </w:rPr>
        <w:t>；</w:t>
      </w:r>
    </w:p>
    <w:p w14:paraId="4ED4CCCA">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、应答人具有良好的银行资信和商业信誉，没有处于被责令停业，投标资格被取消，财产被接管、冻结、破产状态；</w:t>
      </w:r>
    </w:p>
    <w:p w14:paraId="54C151A0">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、应答人没有因骗取中标或者严重违约以及发生重大工程质量、安全生产事故等问题，被有关部门暂停投标资格并在暂停期内的；</w:t>
      </w:r>
    </w:p>
    <w:p w14:paraId="176544B7">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、资格审查文件中的重要内容没有失实或者弄虚作假；</w:t>
      </w:r>
    </w:p>
    <w:p w14:paraId="2309CEF0">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、法定代表人为同一个人的两个及两个以上法人，母公司、全资子公司及其控股公司，不得同时投标；</w:t>
      </w:r>
    </w:p>
    <w:p w14:paraId="4A549857">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、服务期限/开竣工时间满足公告要求；</w:t>
      </w:r>
    </w:p>
    <w:p w14:paraId="2A652290">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应答人</w:t>
      </w:r>
      <w:r>
        <w:rPr>
          <w:rFonts w:hint="eastAsia" w:asciiTheme="minorEastAsia" w:hAnsiTheme="minorEastAsia" w:eastAsiaTheme="minorEastAsia"/>
          <w:szCs w:val="21"/>
          <w:highlight w:val="none"/>
        </w:rPr>
        <w:t>严格遵守《中华人民共和国招标投标法》第四十八条规定“成交人不得向他人转让中标项目，也不得将中标项目肢解后分别向他人转让”。</w:t>
      </w:r>
    </w:p>
    <w:p w14:paraId="04EBC9CE">
      <w:pPr>
        <w:snapToGrid w:val="0"/>
        <w:spacing w:line="360" w:lineRule="auto"/>
        <w:ind w:firstLine="426"/>
        <w:rPr>
          <w:rFonts w:asciiTheme="minorEastAsia" w:hAnsiTheme="minorEastAsia" w:eastAsiaTheme="minorEastAsia"/>
          <w:szCs w:val="21"/>
          <w:highlight w:val="none"/>
        </w:rPr>
      </w:pPr>
      <w:r>
        <w:rPr>
          <w:rFonts w:asciiTheme="minorEastAsia" w:hAnsiTheme="minorEastAsia" w:eastAsiaTheme="minorEastAsia"/>
          <w:szCs w:val="21"/>
          <w:highlight w:val="none"/>
        </w:rPr>
        <w:t>9</w:t>
      </w:r>
      <w:r>
        <w:rPr>
          <w:rFonts w:hint="eastAsia" w:asciiTheme="minorEastAsia" w:hAnsiTheme="minorEastAsia" w:eastAsiaTheme="minorEastAsia"/>
          <w:szCs w:val="21"/>
          <w:highlight w:val="none"/>
        </w:rPr>
        <w:t>、具有投资参股关系的关联企业，或具有直接管理和被管理关系的母子公司，或同一母公司的子公司之间，或法定代表人或单位负责人为同一人或者存在控股、管理关系的不同单位，不得参加同一标包应答或者未划分标包的同一采购项目应答。</w:t>
      </w:r>
    </w:p>
    <w:p w14:paraId="64A98EFE">
      <w:pPr>
        <w:spacing w:line="360" w:lineRule="auto"/>
        <w:ind w:firstLine="420" w:firstLineChars="200"/>
        <w:rPr>
          <w:rFonts w:ascii="宋体" w:hAnsi="宋体"/>
          <w:szCs w:val="21"/>
          <w:highlight w:val="none"/>
        </w:rPr>
      </w:pP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w:t>
      </w:r>
      <w:r>
        <w:rPr>
          <w:rFonts w:hint="eastAsia" w:ascii="宋体" w:hAnsi="宋体"/>
          <w:szCs w:val="21"/>
          <w:highlight w:val="none"/>
        </w:rPr>
        <w:t>根据最高人民法院、国家发展改革委、国家铁路局等九部门联合印发的《关于在招标投标活动中对失信被执行人实施联合惩戒的通知》（法〔2016〕285号），应答人不得存在违法失信行为，不得被“信用中国”网站（www.creditchina.gov.cn）列入“黑名单”。</w:t>
      </w:r>
      <w:r>
        <w:rPr>
          <w:rFonts w:hint="eastAsia" w:ascii="宋体" w:hAnsi="宋体"/>
          <w:color w:val="FF0000"/>
          <w:szCs w:val="21"/>
          <w:highlight w:val="none"/>
        </w:rPr>
        <w:t>（须提供开标日期前两个月内从“信用中国”导出的《法人和其他组织信用信息概况》）</w:t>
      </w:r>
    </w:p>
    <w:p w14:paraId="57DF9817">
      <w:pPr>
        <w:spacing w:line="360" w:lineRule="auto"/>
        <w:ind w:firstLine="420" w:firstLineChars="200"/>
        <w:rPr>
          <w:rFonts w:ascii="宋体" w:hAnsi="宋体"/>
          <w:szCs w:val="21"/>
          <w:highlight w:val="none"/>
        </w:rPr>
      </w:pPr>
      <w:r>
        <w:rPr>
          <w:rFonts w:hint="eastAsia" w:ascii="宋体" w:hAnsi="宋体"/>
          <w:szCs w:val="21"/>
          <w:highlight w:val="none"/>
        </w:rPr>
        <w:t>根据《企业信息公示暂行条例》，应答人不得被工商行政管理机关在国家企业信用信息公示系统（www.gsxt.gov.cn）列入“经营异常名录”或者“严重违法失信企业名单（黑名单）”。</w:t>
      </w:r>
      <w:r>
        <w:rPr>
          <w:rFonts w:hint="eastAsia" w:ascii="宋体" w:hAnsi="宋体"/>
          <w:color w:val="FF0000"/>
          <w:szCs w:val="21"/>
          <w:highlight w:val="none"/>
        </w:rPr>
        <w:t>（提供开标日期前两个月内从“国家企业信用信息公示系统”导出的《企业信用公示报告》）</w:t>
      </w:r>
    </w:p>
    <w:p w14:paraId="37DA80D3">
      <w:pPr>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w:t>
      </w:r>
      <w:r>
        <w:rPr>
          <w:rFonts w:hint="eastAsia" w:ascii="宋体" w:hAnsi="宋体"/>
          <w:szCs w:val="21"/>
          <w:highlight w:val="none"/>
        </w:rPr>
        <w:t>在人民法院生效的判决书中被认定在采购人采购活动中存在行贿行为情节严重的，该应答人参与本项目的应答将被否决。</w:t>
      </w:r>
    </w:p>
    <w:p w14:paraId="548CE9A8">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w:t>
      </w:r>
      <w:r>
        <w:rPr>
          <w:rFonts w:hint="eastAsia" w:asciiTheme="minorEastAsia" w:hAnsiTheme="minorEastAsia" w:eastAsiaTheme="minorEastAsia"/>
          <w:szCs w:val="21"/>
          <w:highlight w:val="none"/>
        </w:rPr>
        <w:t>符合相关法律、法规规定的其他要求；</w:t>
      </w:r>
    </w:p>
    <w:p w14:paraId="3CECA50D">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3.2</w:t>
      </w:r>
      <w:r>
        <w:rPr>
          <w:rFonts w:ascii="宋体" w:hAnsi="宋体" w:cs="宋体"/>
          <w:b/>
          <w:bCs/>
          <w:szCs w:val="21"/>
          <w:highlight w:val="none"/>
        </w:rPr>
        <w:t xml:space="preserve"> </w:t>
      </w:r>
      <w:r>
        <w:rPr>
          <w:rFonts w:hint="eastAsia"/>
          <w:b/>
          <w:bCs/>
          <w:highlight w:val="none"/>
        </w:rPr>
        <w:t>应答人须满足如下</w:t>
      </w:r>
      <w:r>
        <w:rPr>
          <w:rFonts w:hint="eastAsia" w:ascii="宋体" w:hAnsi="宋体" w:cs="宋体"/>
          <w:b/>
          <w:bCs/>
          <w:szCs w:val="21"/>
          <w:highlight w:val="none"/>
        </w:rPr>
        <w:t>专用资质要求：</w:t>
      </w:r>
    </w:p>
    <w:p w14:paraId="4DCB8A35">
      <w:pPr>
        <w:adjustRightInd w:val="0"/>
        <w:snapToGrid w:val="0"/>
        <w:spacing w:line="360" w:lineRule="auto"/>
        <w:ind w:firstLine="420" w:firstLineChars="200"/>
        <w:rPr>
          <w:rFonts w:hint="eastAsia" w:hAnsi="宋体" w:cs="宋体"/>
          <w:color w:val="FF0000"/>
          <w:sz w:val="21"/>
          <w:szCs w:val="21"/>
          <w:highlight w:val="none"/>
          <w:lang w:val="en-US" w:eastAsia="zh-CN"/>
        </w:rPr>
      </w:pPr>
      <w:r>
        <w:rPr>
          <w:rFonts w:hint="eastAsia" w:hAnsi="宋体" w:cs="宋体"/>
          <w:color w:val="FF0000"/>
          <w:sz w:val="21"/>
          <w:szCs w:val="21"/>
          <w:highlight w:val="none"/>
          <w:lang w:val="en-US" w:eastAsia="zh-CN"/>
        </w:rPr>
        <w:t>无</w:t>
      </w:r>
    </w:p>
    <w:p w14:paraId="49E47DE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3.3本次谈判不接受联合体投标。</w:t>
      </w:r>
    </w:p>
    <w:p w14:paraId="5DBF4C8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3.4采购人提出的其他要求（如有）:</w:t>
      </w:r>
    </w:p>
    <w:p w14:paraId="0EE6CA2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3.5本批次谈判项目所有标包采用资格后审的方式进行。</w:t>
      </w:r>
      <w:r>
        <w:rPr>
          <w:rFonts w:hint="eastAsia" w:ascii="宋体" w:hAnsi="宋体" w:cs="宋体"/>
          <w:highlight w:val="none"/>
        </w:rPr>
        <w:t>评审期间，应答人有可能被要求提供原件供审查验证之用。</w:t>
      </w:r>
    </w:p>
    <w:p w14:paraId="46E70DF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3.6安全质量要求不得存在以下情况之一：</w:t>
      </w:r>
    </w:p>
    <w:p w14:paraId="290FB2F8">
      <w:pPr>
        <w:adjustRightInd w:val="0"/>
        <w:snapToGrid w:val="0"/>
        <w:spacing w:line="360" w:lineRule="auto"/>
        <w:ind w:firstLine="420" w:firstLineChars="200"/>
        <w:rPr>
          <w:rFonts w:ascii="宋体" w:hAnsi="宋体" w:cs="宋体"/>
          <w:szCs w:val="21"/>
          <w:highlight w:val="none"/>
        </w:rPr>
      </w:pPr>
      <w:r>
        <w:rPr>
          <w:rFonts w:hint="eastAsia" w:ascii="宋体" w:hAnsi="宋体"/>
          <w:szCs w:val="21"/>
          <w:highlight w:val="none"/>
        </w:rPr>
        <w:t>自开标日前三年内发生因应答人原因负同等及以上责任造成的重大质量事故（二级及以上质量事件）；一年内发生因应答人负同等及以上责任造成的较大及以上人身死亡事故（三级及以上人身安全事件）、较大及以上电网、设备事故（三级及以上电网、设备安全事件）；六个月内发生因应答人负同等及以上责任造成的一般人身死亡事故（四级人身安全事件）、一般电网、设备事故（四级电网、设备安全事件）或较大质量事故（三级质量事件）；三个月内发生因应答人负同等及以上责任造成的一般质量事故（四级质量事件）。</w:t>
      </w:r>
    </w:p>
    <w:p w14:paraId="5A519FB2">
      <w:pPr>
        <w:adjustRightInd w:val="0"/>
        <w:spacing w:line="360" w:lineRule="auto"/>
        <w:ind w:firstLine="420" w:firstLineChars="200"/>
        <w:rPr>
          <w:rFonts w:ascii="宋体" w:hAnsi="宋体"/>
          <w:szCs w:val="21"/>
          <w:highlight w:val="none"/>
        </w:rPr>
      </w:pPr>
      <w:r>
        <w:rPr>
          <w:rFonts w:hint="eastAsia" w:ascii="宋体" w:hAnsi="宋体"/>
          <w:szCs w:val="21"/>
          <w:highlight w:val="none"/>
        </w:rPr>
        <w:t>3.7业绩要求：</w:t>
      </w:r>
    </w:p>
    <w:p w14:paraId="14E95D04">
      <w:pPr>
        <w:adjustRightInd w:val="0"/>
        <w:spacing w:line="360" w:lineRule="auto"/>
        <w:ind w:firstLine="420" w:firstLineChars="200"/>
        <w:rPr>
          <w:rFonts w:hint="eastAsia" w:ascii="宋体" w:hAnsi="宋体"/>
          <w:color w:val="FF0000"/>
          <w:szCs w:val="21"/>
          <w:highlight w:val="none"/>
          <w:lang w:val="en-US" w:eastAsia="zh-CN"/>
        </w:rPr>
      </w:pPr>
      <w:r>
        <w:rPr>
          <w:rFonts w:hint="eastAsia" w:ascii="宋体" w:hAnsi="宋体"/>
          <w:color w:val="FF0000"/>
          <w:szCs w:val="21"/>
          <w:highlight w:val="none"/>
          <w:lang w:val="en-US" w:eastAsia="zh-CN"/>
        </w:rPr>
        <w:t>无</w:t>
      </w:r>
    </w:p>
    <w:p w14:paraId="256DF94D">
      <w:pPr>
        <w:adjustRightIn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 母子公司、兄弟公司、控股公司的业绩不能相互替代。</w:t>
      </w:r>
    </w:p>
    <w:p w14:paraId="0701D2BF">
      <w:pPr>
        <w:adjustRightIn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 xml:space="preserve"> 收购其他企业，被收购企业注销的，收购方可承继被收购方的业绩</w:t>
      </w:r>
      <w:r>
        <w:rPr>
          <w:rFonts w:hint="eastAsia" w:ascii="宋体" w:hAnsi="宋体"/>
          <w:szCs w:val="21"/>
          <w:highlight w:val="none"/>
        </w:rPr>
        <w:t>;</w:t>
      </w:r>
      <w:r>
        <w:rPr>
          <w:rFonts w:ascii="宋体" w:hAnsi="宋体"/>
          <w:szCs w:val="21"/>
          <w:highlight w:val="none"/>
        </w:rPr>
        <w:t>重组改制中涉及企业合并、分立、名称变更的，须提供充足的证明材料，方可承继原企业的业绩</w:t>
      </w:r>
      <w:r>
        <w:rPr>
          <w:rFonts w:hint="eastAsia" w:ascii="宋体" w:hAnsi="宋体"/>
          <w:szCs w:val="21"/>
          <w:highlight w:val="none"/>
        </w:rPr>
        <w:t>。</w:t>
      </w:r>
    </w:p>
    <w:p w14:paraId="6BFE9FB5">
      <w:pPr>
        <w:adjustRightIn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 重组改制中涉及企业合并、分立、名称变更的，须提供充足的证明材料，方可继承原企业的业绩。</w:t>
      </w:r>
    </w:p>
    <w:p w14:paraId="2241D70B">
      <w:pPr>
        <w:adjustRightInd w:val="0"/>
        <w:spacing w:line="360" w:lineRule="auto"/>
        <w:ind w:firstLine="420" w:firstLineChars="200"/>
        <w:rPr>
          <w:rFonts w:ascii="宋体" w:hAnsi="宋体"/>
          <w:szCs w:val="21"/>
          <w:highlight w:val="none"/>
        </w:rPr>
      </w:pPr>
      <w:r>
        <w:rPr>
          <w:rFonts w:hint="eastAsia" w:ascii="宋体" w:hAnsi="宋体"/>
          <w:szCs w:val="21"/>
          <w:highlight w:val="none"/>
        </w:rPr>
        <w:t>3.8</w:t>
      </w:r>
      <w:r>
        <w:rPr>
          <w:rFonts w:ascii="宋体" w:hAnsi="宋体"/>
          <w:szCs w:val="21"/>
          <w:highlight w:val="none"/>
        </w:rPr>
        <w:t>信誉</w:t>
      </w:r>
      <w:r>
        <w:rPr>
          <w:rFonts w:hint="eastAsia" w:ascii="宋体" w:hAnsi="宋体"/>
          <w:szCs w:val="21"/>
          <w:highlight w:val="none"/>
        </w:rPr>
        <w:t>要求</w:t>
      </w:r>
    </w:p>
    <w:p w14:paraId="52E3973D">
      <w:pPr>
        <w:adjustRightInd w:val="0"/>
        <w:spacing w:line="360" w:lineRule="auto"/>
        <w:ind w:firstLine="420" w:firstLineChars="200"/>
        <w:rPr>
          <w:rFonts w:ascii="宋体" w:hAnsi="宋体"/>
          <w:szCs w:val="21"/>
          <w:highlight w:val="none"/>
        </w:rPr>
      </w:pPr>
      <w:r>
        <w:rPr>
          <w:rFonts w:hint="eastAsia" w:ascii="宋体" w:hAnsi="宋体"/>
          <w:szCs w:val="21"/>
          <w:highlight w:val="none"/>
        </w:rPr>
        <w:t>潜在应答人不得存在下列情形之一：</w:t>
      </w:r>
    </w:p>
    <w:p w14:paraId="002DDBA0">
      <w:pPr>
        <w:adjustRightInd w:val="0"/>
        <w:spacing w:line="360" w:lineRule="auto"/>
        <w:ind w:firstLine="420"/>
        <w:rPr>
          <w:rFonts w:ascii="宋体" w:hAnsi="宋体"/>
          <w:szCs w:val="21"/>
          <w:highlight w:val="none"/>
        </w:rPr>
      </w:pPr>
      <w:r>
        <w:rPr>
          <w:rFonts w:hint="eastAsia" w:ascii="宋体" w:hAnsi="宋体"/>
          <w:szCs w:val="21"/>
          <w:highlight w:val="none"/>
        </w:rPr>
        <w:t>①开标日前三年内有骗取中标或严重违约的；</w:t>
      </w:r>
    </w:p>
    <w:p w14:paraId="7A4F4224">
      <w:pPr>
        <w:adjustRightInd w:val="0"/>
        <w:spacing w:line="360" w:lineRule="auto"/>
        <w:ind w:firstLine="420" w:firstLineChars="200"/>
        <w:rPr>
          <w:rFonts w:ascii="宋体" w:hAnsi="宋体"/>
          <w:szCs w:val="21"/>
          <w:highlight w:val="none"/>
        </w:rPr>
      </w:pPr>
      <w:r>
        <w:rPr>
          <w:rFonts w:hint="eastAsia" w:ascii="宋体" w:hAnsi="宋体"/>
          <w:szCs w:val="21"/>
          <w:highlight w:val="none"/>
        </w:rPr>
        <w:t>②开标日前两年内存在违反国家有关法律禁止转分包规定的行为。</w:t>
      </w:r>
    </w:p>
    <w:p w14:paraId="4DA9680C">
      <w:pPr>
        <w:adjustRightInd w:val="0"/>
        <w:spacing w:line="360" w:lineRule="auto"/>
        <w:ind w:firstLine="420" w:firstLineChars="200"/>
        <w:rPr>
          <w:rFonts w:ascii="宋体" w:hAnsi="宋体"/>
          <w:szCs w:val="21"/>
          <w:highlight w:val="none"/>
        </w:rPr>
      </w:pPr>
      <w:r>
        <w:rPr>
          <w:rFonts w:hint="eastAsia" w:ascii="宋体" w:hAnsi="宋体"/>
          <w:szCs w:val="21"/>
          <w:highlight w:val="none"/>
        </w:rPr>
        <w:t>3.9财务要求</w:t>
      </w:r>
    </w:p>
    <w:p w14:paraId="77097E15">
      <w:pPr>
        <w:adjustRightInd w:val="0"/>
        <w:spacing w:line="360" w:lineRule="auto"/>
        <w:ind w:firstLine="420" w:firstLineChars="200"/>
        <w:rPr>
          <w:rFonts w:ascii="宋体" w:hAnsi="宋体"/>
          <w:bCs/>
          <w:szCs w:val="21"/>
          <w:highlight w:val="none"/>
        </w:rPr>
      </w:pPr>
      <w:r>
        <w:rPr>
          <w:rFonts w:hint="eastAsia" w:ascii="宋体" w:hAnsi="宋体"/>
          <w:bCs/>
          <w:szCs w:val="21"/>
          <w:highlight w:val="none"/>
        </w:rPr>
        <w:t>应有良好的财务状况，不得出现连续三年亏损,需提供会计师事务所出具的20</w:t>
      </w:r>
      <w:r>
        <w:rPr>
          <w:rFonts w:ascii="宋体" w:hAnsi="宋体"/>
          <w:bCs/>
          <w:szCs w:val="21"/>
          <w:highlight w:val="none"/>
        </w:rPr>
        <w:t>2</w:t>
      </w:r>
      <w:r>
        <w:rPr>
          <w:rFonts w:hint="eastAsia" w:ascii="宋体" w:hAnsi="宋体"/>
          <w:bCs/>
          <w:szCs w:val="21"/>
          <w:highlight w:val="none"/>
          <w:lang w:val="en-US" w:eastAsia="zh-CN"/>
        </w:rPr>
        <w:t>1</w:t>
      </w:r>
      <w:r>
        <w:rPr>
          <w:rFonts w:hint="eastAsia" w:ascii="宋体" w:hAnsi="宋体"/>
          <w:bCs/>
          <w:szCs w:val="21"/>
          <w:highlight w:val="none"/>
        </w:rPr>
        <w:t>年至202</w:t>
      </w:r>
      <w:r>
        <w:rPr>
          <w:rFonts w:hint="eastAsia" w:ascii="宋体" w:hAnsi="宋体"/>
          <w:bCs/>
          <w:szCs w:val="21"/>
          <w:highlight w:val="none"/>
          <w:lang w:val="en-US" w:eastAsia="zh-CN"/>
        </w:rPr>
        <w:t>3</w:t>
      </w:r>
      <w:r>
        <w:rPr>
          <w:rFonts w:hint="eastAsia" w:ascii="宋体" w:hAnsi="宋体"/>
          <w:bCs/>
          <w:szCs w:val="21"/>
          <w:highlight w:val="none"/>
        </w:rPr>
        <w:t>年任意</w:t>
      </w:r>
      <w:r>
        <w:rPr>
          <w:rFonts w:ascii="宋体" w:hAnsi="宋体"/>
          <w:bCs/>
          <w:szCs w:val="21"/>
          <w:highlight w:val="none"/>
        </w:rPr>
        <w:t>一年盈利的财务审计报告</w:t>
      </w:r>
      <w:r>
        <w:rPr>
          <w:rFonts w:hint="eastAsia" w:ascii="宋体" w:hAnsi="宋体"/>
          <w:bCs/>
          <w:szCs w:val="21"/>
          <w:highlight w:val="none"/>
        </w:rPr>
        <w:t>。公司成立时间不足三年的，需出具成立年度至202</w:t>
      </w:r>
      <w:r>
        <w:rPr>
          <w:rFonts w:hint="eastAsia" w:ascii="宋体" w:hAnsi="宋体"/>
          <w:bCs/>
          <w:szCs w:val="21"/>
          <w:highlight w:val="none"/>
          <w:lang w:val="en-US" w:eastAsia="zh-CN"/>
        </w:rPr>
        <w:t>4</w:t>
      </w:r>
      <w:r>
        <w:rPr>
          <w:rFonts w:hint="eastAsia" w:ascii="宋体" w:hAnsi="宋体"/>
          <w:bCs/>
          <w:szCs w:val="21"/>
          <w:highlight w:val="none"/>
        </w:rPr>
        <w:t>年财务审计报告且不得出现连续亏损。（财政拨款的科研事业单位、高等院校、等非盈利性单位及律师事务所除外）。</w:t>
      </w:r>
    </w:p>
    <w:p w14:paraId="4236D0C8">
      <w:pPr>
        <w:pStyle w:val="10"/>
        <w:jc w:val="both"/>
        <w:outlineLvl w:val="1"/>
        <w:rPr>
          <w:rFonts w:ascii="Times New Roman" w:eastAsia="黑体"/>
          <w:sz w:val="32"/>
          <w:szCs w:val="32"/>
          <w:highlight w:val="none"/>
        </w:rPr>
      </w:pPr>
      <w:r>
        <w:rPr>
          <w:rFonts w:ascii="Times New Roman" w:eastAsia="宋体"/>
          <w:b/>
          <w:bCs/>
          <w:sz w:val="32"/>
          <w:szCs w:val="32"/>
          <w:highlight w:val="none"/>
        </w:rPr>
        <w:t xml:space="preserve">4. </w:t>
      </w:r>
      <w:r>
        <w:rPr>
          <w:rFonts w:hint="eastAsia" w:ascii="Times New Roman" w:eastAsia="黑体"/>
          <w:b/>
          <w:sz w:val="32"/>
          <w:szCs w:val="32"/>
          <w:highlight w:val="none"/>
        </w:rPr>
        <w:t>谈判文件的获取</w:t>
      </w:r>
    </w:p>
    <w:p w14:paraId="4BF46AE3">
      <w:pPr>
        <w:spacing w:line="360" w:lineRule="auto"/>
        <w:ind w:firstLine="420" w:firstLineChars="200"/>
        <w:rPr>
          <w:highlight w:val="none"/>
        </w:rPr>
      </w:pPr>
      <w:r>
        <w:rPr>
          <w:rFonts w:hint="eastAsia"/>
          <w:highlight w:val="none"/>
        </w:rPr>
        <w:t>4</w:t>
      </w:r>
      <w:r>
        <w:rPr>
          <w:highlight w:val="none"/>
        </w:rPr>
        <w:t>.1</w:t>
      </w:r>
      <w:r>
        <w:rPr>
          <w:rFonts w:hint="eastAsia"/>
          <w:highlight w:val="none"/>
        </w:rPr>
        <w:t>获取时间：凡满足本公告规定的应答人资格要求并有意参加投标者，可于202</w:t>
      </w:r>
      <w:r>
        <w:rPr>
          <w:rFonts w:hint="eastAsia"/>
          <w:highlight w:val="none"/>
          <w:lang w:val="en-US" w:eastAsia="zh-CN"/>
        </w:rPr>
        <w:t>5</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31</w:t>
      </w:r>
      <w:r>
        <w:rPr>
          <w:rFonts w:hint="eastAsia"/>
          <w:highlight w:val="none"/>
        </w:rPr>
        <w:t>日17:00前（北京时间）现场或邮箱获取谈判文件。</w:t>
      </w:r>
    </w:p>
    <w:p w14:paraId="7AB56552">
      <w:pPr>
        <w:spacing w:line="360" w:lineRule="auto"/>
        <w:ind w:firstLine="420" w:firstLineChars="200"/>
        <w:rPr>
          <w:highlight w:val="none"/>
        </w:rPr>
      </w:pPr>
      <w:r>
        <w:rPr>
          <w:highlight w:val="none"/>
        </w:rPr>
        <w:t>4.2</w:t>
      </w:r>
      <w:r>
        <w:rPr>
          <w:rFonts w:hint="eastAsia"/>
          <w:highlight w:val="none"/>
        </w:rPr>
        <w:t>获取方法：应答人将文件费汇入指定账户，并将缴费款底单和报名文件（附件一《投标报名登记表》及营业执照扫描件）发至招标代理邮箱</w:t>
      </w:r>
      <w:r>
        <w:rPr>
          <w:rFonts w:hint="eastAsia"/>
          <w:highlight w:val="none"/>
          <w:lang w:eastAsia="zh-CN"/>
        </w:rPr>
        <w:t>geyijun@ccsgcc.com.cn</w:t>
      </w:r>
      <w:r>
        <w:rPr>
          <w:rFonts w:hint="eastAsia"/>
          <w:highlight w:val="none"/>
        </w:rPr>
        <w:t>，招标代理机构在确认收到文件费后24小时内将谈判文件以电子邮件的方式发送到应答人指定的邮箱中。</w:t>
      </w:r>
    </w:p>
    <w:p w14:paraId="1BFCF958">
      <w:pPr>
        <w:spacing w:line="360" w:lineRule="auto"/>
        <w:ind w:firstLine="420" w:firstLineChars="200"/>
        <w:rPr>
          <w:highlight w:val="none"/>
        </w:rPr>
      </w:pPr>
      <w:r>
        <w:rPr>
          <w:highlight w:val="none"/>
        </w:rPr>
        <w:t>4.3</w:t>
      </w:r>
      <w:r>
        <w:rPr>
          <w:rFonts w:hint="eastAsia"/>
          <w:highlight w:val="none"/>
        </w:rPr>
        <w:t>谈判文件售价</w:t>
      </w:r>
      <w:r>
        <w:rPr>
          <w:rFonts w:hint="eastAsia"/>
          <w:highlight w:val="none"/>
          <w:lang w:eastAsia="zh-CN"/>
        </w:rPr>
        <w:t>（</w:t>
      </w:r>
      <w:r>
        <w:rPr>
          <w:rFonts w:hint="eastAsia"/>
          <w:color w:val="FF0000"/>
          <w:highlight w:val="none"/>
          <w:lang w:val="en-US" w:eastAsia="zh-CN"/>
        </w:rPr>
        <w:t>本项目不收</w:t>
      </w:r>
      <w:r>
        <w:rPr>
          <w:rFonts w:hint="eastAsia"/>
          <w:highlight w:val="none"/>
          <w:lang w:eastAsia="zh-CN"/>
        </w:rPr>
        <w:t>）</w:t>
      </w:r>
      <w:r>
        <w:rPr>
          <w:rFonts w:hint="eastAsia"/>
          <w:highlight w:val="none"/>
        </w:rPr>
        <w:t>：</w:t>
      </w:r>
      <w:r>
        <w:rPr>
          <w:highlight w:val="none"/>
        </w:rPr>
        <w:t>200</w:t>
      </w:r>
      <w:r>
        <w:rPr>
          <w:rFonts w:hint="eastAsia"/>
          <w:highlight w:val="none"/>
        </w:rPr>
        <w:t>元/套，标书售出后概不退还。</w:t>
      </w:r>
    </w:p>
    <w:p w14:paraId="52F676DD">
      <w:pPr>
        <w:spacing w:line="360" w:lineRule="auto"/>
        <w:ind w:firstLine="420" w:firstLineChars="200"/>
        <w:rPr>
          <w:highlight w:val="none"/>
        </w:rPr>
      </w:pPr>
      <w:r>
        <w:rPr>
          <w:rFonts w:hint="eastAsia"/>
          <w:highlight w:val="none"/>
        </w:rPr>
        <w:t>收款单位：北京中城汇能咨询服务有限公司</w:t>
      </w:r>
    </w:p>
    <w:p w14:paraId="543AEA94">
      <w:pPr>
        <w:spacing w:line="360" w:lineRule="auto"/>
        <w:ind w:firstLine="420" w:firstLineChars="200"/>
        <w:rPr>
          <w:highlight w:val="none"/>
        </w:rPr>
      </w:pPr>
      <w:r>
        <w:rPr>
          <w:rFonts w:hint="eastAsia"/>
          <w:highlight w:val="none"/>
        </w:rPr>
        <w:t xml:space="preserve">地    址：北京市东城区雍和航星科技园二号楼4层B5办公室 </w:t>
      </w:r>
    </w:p>
    <w:p w14:paraId="734617FD">
      <w:pPr>
        <w:spacing w:line="360" w:lineRule="auto"/>
        <w:ind w:firstLine="420" w:firstLineChars="200"/>
        <w:rPr>
          <w:highlight w:val="none"/>
        </w:rPr>
      </w:pPr>
      <w:r>
        <w:rPr>
          <w:rFonts w:hint="eastAsia"/>
          <w:highlight w:val="none"/>
        </w:rPr>
        <w:t>开户银行：中国建设银行北京望京支行</w:t>
      </w:r>
    </w:p>
    <w:p w14:paraId="63133826">
      <w:pPr>
        <w:spacing w:line="360" w:lineRule="auto"/>
        <w:ind w:firstLine="420" w:firstLineChars="200"/>
        <w:rPr>
          <w:highlight w:val="none"/>
        </w:rPr>
      </w:pPr>
      <w:r>
        <w:rPr>
          <w:rFonts w:hint="eastAsia"/>
          <w:highlight w:val="none"/>
        </w:rPr>
        <w:t>账    号：</w:t>
      </w:r>
      <w:r>
        <w:rPr>
          <w:highlight w:val="none"/>
        </w:rPr>
        <w:t>11050138530000001837</w:t>
      </w:r>
    </w:p>
    <w:p w14:paraId="56F46AA9">
      <w:pPr>
        <w:spacing w:line="360" w:lineRule="auto"/>
        <w:ind w:firstLine="420" w:firstLineChars="200"/>
        <w:rPr>
          <w:rFonts w:hint="eastAsia"/>
          <w:highlight w:val="none"/>
        </w:rPr>
      </w:pPr>
      <w:r>
        <w:rPr>
          <w:rFonts w:hint="eastAsia"/>
          <w:highlight w:val="none"/>
        </w:rPr>
        <w:t>联 系 人：葛工</w:t>
      </w:r>
    </w:p>
    <w:p w14:paraId="760F6A4C">
      <w:pPr>
        <w:spacing w:line="360" w:lineRule="auto"/>
        <w:ind w:firstLine="420" w:firstLineChars="200"/>
        <w:rPr>
          <w:highlight w:val="none"/>
        </w:rPr>
      </w:pPr>
      <w:r>
        <w:rPr>
          <w:rFonts w:hint="eastAsia"/>
          <w:highlight w:val="none"/>
        </w:rPr>
        <w:t>联系电话：</w:t>
      </w:r>
      <w:r>
        <w:rPr>
          <w:highlight w:val="none"/>
        </w:rPr>
        <w:t xml:space="preserve">18021691905  </w:t>
      </w:r>
    </w:p>
    <w:p w14:paraId="486DDE05">
      <w:pPr>
        <w:pStyle w:val="10"/>
        <w:jc w:val="both"/>
        <w:outlineLvl w:val="1"/>
        <w:rPr>
          <w:rFonts w:ascii="Times New Roman" w:eastAsia="宋体"/>
          <w:b/>
          <w:bCs/>
          <w:sz w:val="32"/>
          <w:szCs w:val="32"/>
          <w:highlight w:val="none"/>
        </w:rPr>
      </w:pPr>
      <w:r>
        <w:rPr>
          <w:rFonts w:ascii="Times New Roman" w:eastAsia="宋体"/>
          <w:b/>
          <w:bCs/>
          <w:sz w:val="32"/>
          <w:szCs w:val="32"/>
          <w:highlight w:val="none"/>
        </w:rPr>
        <w:t xml:space="preserve">5. </w:t>
      </w:r>
      <w:r>
        <w:rPr>
          <w:rFonts w:hint="eastAsia" w:ascii="Times New Roman" w:eastAsia="宋体"/>
          <w:b/>
          <w:bCs/>
          <w:sz w:val="32"/>
          <w:szCs w:val="32"/>
          <w:highlight w:val="none"/>
        </w:rPr>
        <w:t>应答文件的递交及保证金</w:t>
      </w:r>
    </w:p>
    <w:p w14:paraId="39EB3BC3">
      <w:pPr>
        <w:spacing w:line="360" w:lineRule="auto"/>
        <w:ind w:firstLine="420" w:firstLineChars="200"/>
        <w:rPr>
          <w:highlight w:val="none"/>
        </w:rPr>
      </w:pPr>
      <w:r>
        <w:rPr>
          <w:highlight w:val="none"/>
        </w:rPr>
        <w:t>1</w:t>
      </w:r>
      <w:r>
        <w:rPr>
          <w:rFonts w:hint="eastAsia"/>
          <w:highlight w:val="none"/>
        </w:rPr>
        <w:t>．应答文件递交的截止时间（投标截止时间，下同）为20</w:t>
      </w:r>
      <w:r>
        <w:rPr>
          <w:rFonts w:hint="eastAsia"/>
          <w:highlight w:val="none"/>
          <w:lang w:val="en-US" w:eastAsia="zh-CN"/>
        </w:rPr>
        <w:t>25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4</w:t>
      </w:r>
      <w:r>
        <w:rPr>
          <w:rFonts w:hint="eastAsia"/>
          <w:highlight w:val="none"/>
        </w:rPr>
        <w:t>日</w:t>
      </w:r>
      <w:r>
        <w:rPr>
          <w:rFonts w:hint="eastAsia"/>
          <w:highlight w:val="none"/>
          <w:lang w:val="en-US" w:eastAsia="zh-CN"/>
        </w:rPr>
        <w:t>9</w:t>
      </w:r>
      <w:r>
        <w:rPr>
          <w:rFonts w:hint="eastAsia"/>
          <w:highlight w:val="none"/>
        </w:rPr>
        <w:t>时</w:t>
      </w:r>
      <w:r>
        <w:rPr>
          <w:highlight w:val="none"/>
        </w:rPr>
        <w:t>30</w:t>
      </w:r>
      <w:r>
        <w:rPr>
          <w:rFonts w:hint="eastAsia"/>
          <w:highlight w:val="none"/>
        </w:rPr>
        <w:t>分，</w:t>
      </w:r>
      <w:r>
        <w:rPr>
          <w:rFonts w:hint="eastAsia" w:ascii="宋体" w:hAnsi="宋体"/>
          <w:szCs w:val="21"/>
          <w:highlight w:val="none"/>
        </w:rPr>
        <w:t>本项目采用</w:t>
      </w:r>
      <w:r>
        <w:rPr>
          <w:rFonts w:hint="eastAsia" w:ascii="宋体" w:hAnsi="宋体"/>
          <w:b/>
          <w:color w:val="FF0000"/>
          <w:szCs w:val="21"/>
          <w:highlight w:val="none"/>
        </w:rPr>
        <w:t>在线电子化开标</w:t>
      </w:r>
      <w:r>
        <w:rPr>
          <w:rFonts w:hint="eastAsia" w:ascii="宋体" w:hAnsi="宋体"/>
          <w:szCs w:val="21"/>
          <w:highlight w:val="none"/>
        </w:rPr>
        <w:t>，应答人须在应答截止时间前将</w:t>
      </w:r>
      <w:r>
        <w:rPr>
          <w:rFonts w:hint="eastAsia" w:ascii="宋体" w:hAnsi="宋体"/>
          <w:b/>
          <w:bCs/>
          <w:color w:val="FF0000"/>
          <w:szCs w:val="21"/>
          <w:highlight w:val="none"/>
        </w:rPr>
        <w:t>加密</w:t>
      </w:r>
      <w:r>
        <w:rPr>
          <w:rFonts w:hint="eastAsia" w:ascii="宋体" w:hAnsi="宋体"/>
          <w:szCs w:val="21"/>
          <w:highlight w:val="none"/>
        </w:rPr>
        <w:t>且盖章的应答文件扫描件</w:t>
      </w:r>
      <w:r>
        <w:rPr>
          <w:rFonts w:hint="eastAsia" w:ascii="宋体" w:hAnsi="宋体"/>
          <w:color w:val="FF0000"/>
          <w:szCs w:val="21"/>
          <w:highlight w:val="none"/>
        </w:rPr>
        <w:t>（可对pdf文件加密或使用加密压缩包）</w:t>
      </w:r>
      <w:r>
        <w:rPr>
          <w:rFonts w:hint="eastAsia" w:ascii="宋体" w:hAnsi="宋体"/>
          <w:szCs w:val="21"/>
          <w:highlight w:val="none"/>
        </w:rPr>
        <w:t>发送至：（</w:t>
      </w:r>
      <w:r>
        <w:rPr>
          <w:rFonts w:ascii="宋体" w:hAnsi="宋体"/>
          <w:sz w:val="24"/>
          <w:szCs w:val="28"/>
          <w:highlight w:val="none"/>
        </w:rPr>
        <w:t>geyijun@ccsgcc.com.cn</w:t>
      </w:r>
      <w:r>
        <w:rPr>
          <w:rFonts w:hint="eastAsia" w:ascii="宋体" w:hAnsi="宋体"/>
          <w:szCs w:val="21"/>
          <w:highlight w:val="none"/>
        </w:rPr>
        <w:t xml:space="preserve"> ）。</w:t>
      </w:r>
      <w:r>
        <w:rPr>
          <w:rFonts w:hint="eastAsia" w:ascii="宋体" w:hAnsi="宋体"/>
          <w:b/>
          <w:color w:val="FF0000"/>
          <w:szCs w:val="21"/>
          <w:highlight w:val="none"/>
        </w:rPr>
        <w:t>不接收</w:t>
      </w:r>
      <w:r>
        <w:rPr>
          <w:rFonts w:hint="eastAsia" w:ascii="宋体" w:hAnsi="宋体"/>
          <w:color w:val="FF0000"/>
          <w:szCs w:val="21"/>
          <w:highlight w:val="none"/>
        </w:rPr>
        <w:t>现场递交或邮寄方式递交的</w:t>
      </w:r>
      <w:r>
        <w:rPr>
          <w:rFonts w:hint="eastAsia" w:ascii="宋体" w:hAnsi="宋体"/>
          <w:b/>
          <w:color w:val="FF0000"/>
          <w:szCs w:val="21"/>
          <w:highlight w:val="none"/>
        </w:rPr>
        <w:t>纸质文件</w:t>
      </w:r>
      <w:r>
        <w:rPr>
          <w:rFonts w:hint="eastAsia" w:ascii="宋体" w:hAnsi="宋体"/>
          <w:color w:val="FF0000"/>
          <w:szCs w:val="21"/>
          <w:highlight w:val="none"/>
        </w:rPr>
        <w:t>，应答人不需要到现场参加开标会议，但需要在谈判时间保持通讯畅通待工作人员联系提供应答文件解密密码。</w:t>
      </w:r>
    </w:p>
    <w:p w14:paraId="1060686E">
      <w:pPr>
        <w:spacing w:line="360" w:lineRule="auto"/>
        <w:ind w:firstLine="420" w:firstLineChars="200"/>
        <w:rPr>
          <w:highlight w:val="none"/>
        </w:rPr>
      </w:pPr>
      <w:r>
        <w:rPr>
          <w:highlight w:val="none"/>
        </w:rPr>
        <w:t>2</w:t>
      </w:r>
      <w:r>
        <w:rPr>
          <w:rFonts w:hint="eastAsia"/>
          <w:highlight w:val="none"/>
        </w:rPr>
        <w:t>．逾期送达的或者未按要求加密的应答文件，采购人不予受理。</w:t>
      </w:r>
    </w:p>
    <w:p w14:paraId="5D930D77">
      <w:pPr>
        <w:ind w:firstLine="420"/>
        <w:rPr>
          <w:rFonts w:ascii="宋体"/>
          <w:szCs w:val="21"/>
          <w:highlight w:val="none"/>
        </w:rPr>
      </w:pPr>
      <w:r>
        <w:rPr>
          <w:rFonts w:hint="eastAsia"/>
          <w:highlight w:val="none"/>
        </w:rPr>
        <w:t>3．</w:t>
      </w:r>
      <w:r>
        <w:rPr>
          <w:rFonts w:hint="eastAsia" w:ascii="宋体"/>
          <w:szCs w:val="21"/>
          <w:highlight w:val="none"/>
        </w:rPr>
        <w:t>谈判保证金</w:t>
      </w:r>
    </w:p>
    <w:p w14:paraId="6D786F56">
      <w:pPr>
        <w:ind w:firstLine="420"/>
        <w:rPr>
          <w:rFonts w:ascii="宋体" w:hAnsi="宋体"/>
          <w:b/>
          <w:bCs/>
          <w:szCs w:val="21"/>
          <w:highlight w:val="none"/>
        </w:rPr>
      </w:pPr>
      <w:r>
        <w:rPr>
          <w:rFonts w:hint="eastAsia" w:ascii="宋体"/>
          <w:b/>
          <w:bCs/>
          <w:color w:val="FF0000"/>
          <w:szCs w:val="21"/>
          <w:highlight w:val="none"/>
        </w:rPr>
        <w:t>本项目谈判保证金收取与否：不收</w:t>
      </w:r>
    </w:p>
    <w:p w14:paraId="40541FAB">
      <w:pPr>
        <w:ind w:firstLine="400"/>
        <w:rPr>
          <w:rFonts w:ascii="宋体"/>
          <w:color w:val="000000" w:themeColor="text1"/>
          <w:szCs w:val="21"/>
          <w:highlight w:val="none"/>
          <w14:textFill>
            <w14:solidFill>
              <w14:schemeClr w14:val="tx1"/>
            </w14:solidFill>
          </w14:textFill>
        </w:rPr>
      </w:pPr>
    </w:p>
    <w:p w14:paraId="764FAC79">
      <w:pPr>
        <w:spacing w:line="360" w:lineRule="auto"/>
        <w:outlineLvl w:val="1"/>
        <w:rPr>
          <w:rFonts w:ascii="宋体" w:hAnsi="宋体"/>
          <w:b/>
          <w:sz w:val="24"/>
          <w:szCs w:val="24"/>
          <w:highlight w:val="none"/>
        </w:rPr>
      </w:pPr>
      <w:r>
        <w:rPr>
          <w:b/>
          <w:bCs/>
          <w:sz w:val="32"/>
          <w:szCs w:val="32"/>
          <w:highlight w:val="none"/>
        </w:rPr>
        <w:t>6.</w:t>
      </w:r>
      <w:r>
        <w:rPr>
          <w:rFonts w:hint="eastAsia"/>
          <w:b/>
          <w:bCs/>
          <w:sz w:val="32"/>
          <w:szCs w:val="32"/>
          <w:highlight w:val="none"/>
        </w:rPr>
        <w:t>谈判</w:t>
      </w:r>
      <w:r>
        <w:rPr>
          <w:b/>
          <w:bCs/>
          <w:sz w:val="32"/>
          <w:szCs w:val="32"/>
          <w:highlight w:val="none"/>
        </w:rPr>
        <w:t>时间</w:t>
      </w:r>
      <w:r>
        <w:rPr>
          <w:rFonts w:hint="eastAsia"/>
          <w:b/>
          <w:bCs/>
          <w:sz w:val="32"/>
          <w:szCs w:val="32"/>
          <w:highlight w:val="none"/>
        </w:rPr>
        <w:t>、谈判</w:t>
      </w:r>
      <w:r>
        <w:rPr>
          <w:b/>
          <w:bCs/>
          <w:sz w:val="32"/>
          <w:szCs w:val="32"/>
          <w:highlight w:val="none"/>
        </w:rPr>
        <w:t>地点</w:t>
      </w:r>
    </w:p>
    <w:p w14:paraId="6998977D">
      <w:pPr>
        <w:wordWrap w:val="0"/>
        <w:adjustRightInd w:val="0"/>
        <w:spacing w:line="360" w:lineRule="auto"/>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宋体" w:hAnsi="宋体"/>
          <w:szCs w:val="21"/>
          <w:highlight w:val="none"/>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谈判时间：</w:t>
      </w:r>
      <w:r>
        <w:rPr>
          <w:rFonts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025年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bookmarkStart w:id="0" w:name="_GoBack"/>
      <w:bookmarkEnd w:id="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日9时30分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1DF8883B">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谈判</w:t>
      </w:r>
      <w:r>
        <w:rPr>
          <w:rFonts w:hint="eastAsia" w:ascii="宋体" w:hAnsi="宋体"/>
          <w:szCs w:val="21"/>
          <w:highlight w:val="none"/>
        </w:rPr>
        <w:t>地点为</w:t>
      </w:r>
      <w:r>
        <w:rPr>
          <w:rFonts w:hint="eastAsia" w:asciiTheme="minorEastAsia" w:hAnsiTheme="minorEastAsia"/>
          <w:szCs w:val="21"/>
          <w:highlight w:val="none"/>
          <w:u w:val="single"/>
          <w:lang w:val="en-US" w:eastAsia="zh-CN"/>
        </w:rPr>
        <w:t>南京</w:t>
      </w:r>
      <w:r>
        <w:rPr>
          <w:rFonts w:asciiTheme="minorEastAsia" w:hAnsiTheme="minorEastAsia" w:eastAsiaTheme="minorEastAsia"/>
          <w:szCs w:val="21"/>
          <w:highlight w:val="none"/>
          <w:u w:val="single"/>
        </w:rPr>
        <w:t>市</w:t>
      </w:r>
      <w:r>
        <w:rPr>
          <w:rFonts w:hint="eastAsia" w:asciiTheme="minorEastAsia" w:hAnsiTheme="minorEastAsia"/>
          <w:szCs w:val="21"/>
          <w:highlight w:val="none"/>
          <w:u w:val="single"/>
          <w:lang w:val="en-US" w:eastAsia="zh-CN"/>
        </w:rPr>
        <w:t>鼓楼</w:t>
      </w:r>
      <w:r>
        <w:rPr>
          <w:rFonts w:asciiTheme="minorEastAsia" w:hAnsiTheme="minorEastAsia" w:eastAsiaTheme="minorEastAsia"/>
          <w:szCs w:val="21"/>
          <w:highlight w:val="none"/>
          <w:u w:val="single"/>
        </w:rPr>
        <w:t>区</w:t>
      </w:r>
      <w:r>
        <w:rPr>
          <w:rFonts w:hint="eastAsia" w:asciiTheme="minorEastAsia" w:hAnsiTheme="minorEastAsia" w:eastAsiaTheme="minorEastAsia"/>
          <w:szCs w:val="21"/>
          <w:highlight w:val="none"/>
          <w:u w:val="single"/>
        </w:rPr>
        <w:t>古平岗4号C座</w:t>
      </w:r>
      <w:r>
        <w:rPr>
          <w:rFonts w:hint="eastAsia" w:asciiTheme="minorEastAsia" w:hAnsiTheme="minorEastAsia"/>
          <w:szCs w:val="21"/>
          <w:highlight w:val="none"/>
          <w:u w:val="single"/>
          <w:lang w:val="en-US" w:eastAsia="zh-CN"/>
        </w:rPr>
        <w:t>8楼</w:t>
      </w:r>
      <w:r>
        <w:rPr>
          <w:rFonts w:hint="eastAsia" w:ascii="宋体" w:hAnsi="宋体"/>
          <w:szCs w:val="21"/>
          <w:highlight w:val="none"/>
        </w:rPr>
        <w:t>。</w:t>
      </w:r>
    </w:p>
    <w:p w14:paraId="628EEF89">
      <w:pPr>
        <w:spacing w:line="360" w:lineRule="auto"/>
        <w:outlineLvl w:val="1"/>
        <w:rPr>
          <w:rFonts w:ascii="宋体" w:hAnsi="宋体"/>
          <w:b/>
          <w:sz w:val="24"/>
          <w:szCs w:val="24"/>
          <w:highlight w:val="none"/>
        </w:rPr>
      </w:pPr>
      <w:r>
        <w:rPr>
          <w:rFonts w:hint="eastAsia"/>
          <w:b/>
          <w:bCs/>
          <w:sz w:val="32"/>
          <w:szCs w:val="32"/>
          <w:highlight w:val="none"/>
        </w:rPr>
        <w:t>7</w:t>
      </w:r>
      <w:r>
        <w:rPr>
          <w:b/>
          <w:bCs/>
          <w:sz w:val="32"/>
          <w:szCs w:val="32"/>
          <w:highlight w:val="none"/>
        </w:rPr>
        <w:t>.</w:t>
      </w:r>
      <w:r>
        <w:rPr>
          <w:rFonts w:hint="eastAsia"/>
          <w:b/>
          <w:bCs/>
          <w:sz w:val="32"/>
          <w:szCs w:val="32"/>
          <w:highlight w:val="none"/>
        </w:rPr>
        <w:t>发布信息媒价</w:t>
      </w:r>
    </w:p>
    <w:p w14:paraId="20884C23">
      <w:pPr>
        <w:spacing w:line="360" w:lineRule="auto"/>
        <w:ind w:firstLine="480"/>
        <w:rPr>
          <w:rFonts w:ascii="宋体"/>
          <w:color w:val="FF0000"/>
          <w:szCs w:val="21"/>
          <w:highlight w:val="none"/>
        </w:rPr>
      </w:pPr>
      <w:r>
        <w:rPr>
          <w:rFonts w:hint="eastAsia" w:ascii="宋体" w:hAnsi="宋体"/>
          <w:szCs w:val="21"/>
          <w:highlight w:val="none"/>
        </w:rPr>
        <w:t>本次竞争性谈判为公开竞争性谈判在</w:t>
      </w:r>
      <w:r>
        <w:rPr>
          <w:rFonts w:hint="eastAsia" w:asciiTheme="minorEastAsia" w:hAnsiTheme="minorEastAsia" w:eastAsiaTheme="minorEastAsia"/>
          <w:szCs w:val="21"/>
          <w:highlight w:val="none"/>
        </w:rPr>
        <w:t>中城汇能招标系统</w:t>
      </w:r>
      <w:r>
        <w:rPr>
          <w:rFonts w:asciiTheme="minorEastAsia" w:hAnsiTheme="minorEastAsia" w:eastAsiaTheme="minorEastAsia"/>
          <w:szCs w:val="21"/>
          <w:highlight w:val="none"/>
        </w:rPr>
        <w:t>http://xt.ccsgcc.com.cn/</w:t>
      </w:r>
      <w:r>
        <w:rPr>
          <w:rFonts w:hint="eastAsia" w:ascii="宋体" w:hAnsi="宋体"/>
          <w:szCs w:val="21"/>
          <w:highlight w:val="none"/>
        </w:rPr>
        <w:t>发布各项信息。</w:t>
      </w:r>
    </w:p>
    <w:p w14:paraId="27DDADBD">
      <w:pPr>
        <w:spacing w:line="360" w:lineRule="auto"/>
        <w:ind w:firstLine="420" w:firstLineChars="200"/>
        <w:rPr>
          <w:rFonts w:ascii="宋体" w:hAnsi="宋体" w:cs="宋体"/>
          <w:szCs w:val="21"/>
          <w:highlight w:val="none"/>
        </w:rPr>
      </w:pPr>
      <w:r>
        <w:rPr>
          <w:rFonts w:hint="eastAsia" w:ascii="宋体" w:hAnsi="宋体"/>
          <w:szCs w:val="21"/>
          <w:highlight w:val="none"/>
        </w:rPr>
        <w:t>所有信息资料在网站上一经公布，视为应答人已知悉并且按要求进行了修改，采购人无需采取其他方式另行通知。当采购文件、采购文件的澄清、修改、补充等在同一内容的表述上不一致时，以最后网上发出的文件为准。否则，由此引起的损失及责任由应答人自行承担。</w:t>
      </w:r>
    </w:p>
    <w:p w14:paraId="7E5EE906">
      <w:pPr>
        <w:spacing w:line="360" w:lineRule="auto"/>
        <w:ind w:firstLine="420" w:firstLineChars="200"/>
      </w:pPr>
    </w:p>
    <w:p w14:paraId="1A1E8251">
      <w:pPr>
        <w:pStyle w:val="10"/>
        <w:jc w:val="both"/>
        <w:outlineLvl w:val="1"/>
        <w:rPr>
          <w:rFonts w:ascii="Times New Roman" w:eastAsia="宋体"/>
          <w:b/>
          <w:bCs/>
          <w:sz w:val="32"/>
          <w:szCs w:val="32"/>
        </w:rPr>
      </w:pPr>
      <w:r>
        <w:rPr>
          <w:rFonts w:hint="eastAsia" w:ascii="Times New Roman" w:eastAsia="宋体"/>
          <w:b/>
          <w:bCs/>
          <w:sz w:val="32"/>
          <w:szCs w:val="32"/>
        </w:rPr>
        <w:t>8</w:t>
      </w:r>
      <w:r>
        <w:rPr>
          <w:rFonts w:ascii="Times New Roman" w:eastAsia="宋体"/>
          <w:b/>
          <w:bCs/>
          <w:sz w:val="32"/>
          <w:szCs w:val="32"/>
        </w:rPr>
        <w:t xml:space="preserve">. </w:t>
      </w:r>
      <w:r>
        <w:rPr>
          <w:rFonts w:hint="eastAsia" w:ascii="Times New Roman" w:eastAsia="宋体"/>
          <w:b/>
          <w:bCs/>
          <w:sz w:val="32"/>
          <w:szCs w:val="32"/>
        </w:rPr>
        <w:t>联系方式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6F2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F7A3013">
            <w:pPr>
              <w:jc w:val="center"/>
            </w:pPr>
          </w:p>
        </w:tc>
        <w:tc>
          <w:tcPr>
            <w:tcW w:w="3540" w:type="dxa"/>
            <w:tcBorders>
              <w:top w:val="single" w:color="auto" w:sz="4" w:space="0"/>
              <w:left w:val="single" w:color="auto" w:sz="4" w:space="0"/>
              <w:bottom w:val="single" w:color="auto" w:sz="4" w:space="0"/>
              <w:right w:val="single" w:color="auto" w:sz="4" w:space="0"/>
            </w:tcBorders>
            <w:vAlign w:val="center"/>
          </w:tcPr>
          <w:p w14:paraId="2D9309CB">
            <w:pPr>
              <w:jc w:val="center"/>
            </w:pPr>
            <w:r>
              <w:rPr>
                <w:rFonts w:hint="eastAsia"/>
              </w:rPr>
              <w:t>采购人</w:t>
            </w:r>
          </w:p>
        </w:tc>
        <w:tc>
          <w:tcPr>
            <w:tcW w:w="4011" w:type="dxa"/>
            <w:tcBorders>
              <w:top w:val="single" w:color="auto" w:sz="4" w:space="0"/>
              <w:left w:val="single" w:color="auto" w:sz="4" w:space="0"/>
              <w:bottom w:val="single" w:color="auto" w:sz="4" w:space="0"/>
              <w:right w:val="single" w:color="auto" w:sz="4" w:space="0"/>
            </w:tcBorders>
            <w:vAlign w:val="center"/>
          </w:tcPr>
          <w:p w14:paraId="7CEB6FC2">
            <w:pPr>
              <w:jc w:val="center"/>
            </w:pPr>
            <w:r>
              <w:rPr>
                <w:rFonts w:hint="eastAsia"/>
              </w:rPr>
              <w:t>招标代理机构</w:t>
            </w:r>
          </w:p>
        </w:tc>
      </w:tr>
      <w:tr w14:paraId="746D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D8705CA">
            <w:pPr>
              <w:jc w:val="center"/>
            </w:pPr>
            <w:r>
              <w:rPr>
                <w:rFonts w:hint="eastAsia"/>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6FF5F803">
            <w:pPr>
              <w:jc w:val="center"/>
            </w:pPr>
            <w:r>
              <w:rPr>
                <w:szCs w:val="21"/>
              </w:rPr>
              <w:t>上海电气（江苏）综合能源服务有限公司</w:t>
            </w:r>
          </w:p>
        </w:tc>
        <w:tc>
          <w:tcPr>
            <w:tcW w:w="4011" w:type="dxa"/>
            <w:tcBorders>
              <w:top w:val="single" w:color="auto" w:sz="4" w:space="0"/>
              <w:left w:val="single" w:color="auto" w:sz="4" w:space="0"/>
              <w:bottom w:val="single" w:color="auto" w:sz="4" w:space="0"/>
              <w:right w:val="single" w:color="auto" w:sz="4" w:space="0"/>
            </w:tcBorders>
            <w:vAlign w:val="center"/>
          </w:tcPr>
          <w:p w14:paraId="4A387F01">
            <w:pPr>
              <w:jc w:val="center"/>
            </w:pPr>
            <w:r>
              <w:rPr>
                <w:rFonts w:hint="eastAsia"/>
              </w:rPr>
              <w:t>北京中城汇能咨询服务有限公司</w:t>
            </w:r>
          </w:p>
        </w:tc>
      </w:tr>
      <w:tr w14:paraId="53A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9EC5391">
            <w:pPr>
              <w:jc w:val="center"/>
            </w:pPr>
            <w:r>
              <w:rPr>
                <w:rFonts w:hint="eastAsia"/>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1A4E94DB">
            <w:pPr>
              <w:jc w:val="center"/>
              <w:rPr>
                <w:szCs w:val="21"/>
              </w:rPr>
            </w:pPr>
            <w:r>
              <w:rPr>
                <w:rFonts w:hint="eastAsia"/>
                <w:szCs w:val="21"/>
              </w:rPr>
              <w:t>\</w:t>
            </w:r>
          </w:p>
        </w:tc>
        <w:tc>
          <w:tcPr>
            <w:tcW w:w="4011" w:type="dxa"/>
            <w:tcBorders>
              <w:top w:val="single" w:color="auto" w:sz="4" w:space="0"/>
              <w:left w:val="single" w:color="auto" w:sz="4" w:space="0"/>
              <w:bottom w:val="single" w:color="auto" w:sz="4" w:space="0"/>
              <w:right w:val="single" w:color="auto" w:sz="4" w:space="0"/>
            </w:tcBorders>
            <w:vAlign w:val="center"/>
          </w:tcPr>
          <w:p w14:paraId="450F846D">
            <w:pPr>
              <w:jc w:val="center"/>
            </w:pPr>
            <w:r>
              <w:rPr>
                <w:rFonts w:hint="eastAsia"/>
              </w:rPr>
              <w:t>北京市西城区莲花东路106号-汇融大厦B座，12层</w:t>
            </w:r>
          </w:p>
          <w:p w14:paraId="584436D6">
            <w:pPr>
              <w:jc w:val="center"/>
            </w:pPr>
          </w:p>
        </w:tc>
      </w:tr>
      <w:tr w14:paraId="3BA2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4305C8C">
            <w:pPr>
              <w:jc w:val="center"/>
            </w:pPr>
            <w:r>
              <w:rPr>
                <w:rFonts w:hint="eastAsia"/>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7E5B670F">
            <w:pPr>
              <w:jc w:val="center"/>
              <w:rPr>
                <w:szCs w:val="21"/>
              </w:rPr>
            </w:pPr>
            <w:r>
              <w:rPr>
                <w:rFonts w:hint="eastAsia"/>
                <w:szCs w:val="21"/>
                <w:lang w:val="en-US" w:eastAsia="zh-CN"/>
              </w:rPr>
              <w:t>王</w:t>
            </w:r>
            <w:r>
              <w:rPr>
                <w:rFonts w:hint="eastAsia"/>
                <w:szCs w:val="21"/>
              </w:rPr>
              <w:t>经理</w:t>
            </w:r>
          </w:p>
        </w:tc>
        <w:tc>
          <w:tcPr>
            <w:tcW w:w="4011" w:type="dxa"/>
            <w:tcBorders>
              <w:top w:val="single" w:color="auto" w:sz="4" w:space="0"/>
              <w:left w:val="single" w:color="auto" w:sz="4" w:space="0"/>
              <w:bottom w:val="single" w:color="auto" w:sz="4" w:space="0"/>
              <w:right w:val="single" w:color="auto" w:sz="4" w:space="0"/>
            </w:tcBorders>
            <w:vAlign w:val="center"/>
          </w:tcPr>
          <w:p w14:paraId="138DA290">
            <w:pPr>
              <w:jc w:val="center"/>
            </w:pPr>
            <w:r>
              <w:rPr>
                <w:rFonts w:hint="eastAsia"/>
              </w:rPr>
              <w:t>葛工</w:t>
            </w:r>
          </w:p>
        </w:tc>
      </w:tr>
      <w:tr w14:paraId="60D4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56F408AC">
            <w:pPr>
              <w:jc w:val="center"/>
            </w:pPr>
            <w:r>
              <w:rPr>
                <w:rFonts w:hint="eastAsia"/>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6AFD9CDA">
            <w:pPr>
              <w:jc w:val="center"/>
            </w:pPr>
            <w:r>
              <w:rPr>
                <w:rFonts w:hint="eastAsia"/>
              </w:rPr>
              <w:t>18751973883</w:t>
            </w:r>
          </w:p>
        </w:tc>
        <w:tc>
          <w:tcPr>
            <w:tcW w:w="4011" w:type="dxa"/>
            <w:tcBorders>
              <w:top w:val="single" w:color="auto" w:sz="4" w:space="0"/>
              <w:left w:val="single" w:color="auto" w:sz="4" w:space="0"/>
              <w:bottom w:val="single" w:color="auto" w:sz="4" w:space="0"/>
              <w:right w:val="single" w:color="auto" w:sz="4" w:space="0"/>
            </w:tcBorders>
            <w:vAlign w:val="center"/>
          </w:tcPr>
          <w:p w14:paraId="1E774664">
            <w:pPr>
              <w:jc w:val="center"/>
            </w:pPr>
            <w:r>
              <w:t xml:space="preserve">18021691905  </w:t>
            </w:r>
          </w:p>
        </w:tc>
      </w:tr>
      <w:tr w14:paraId="50AD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7B894C7">
            <w:pPr>
              <w:jc w:val="center"/>
            </w:pPr>
            <w:r>
              <w:rPr>
                <w:rFonts w:hint="eastAsia"/>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0F308291">
            <w:pPr>
              <w:jc w:val="center"/>
            </w:pPr>
            <w:r>
              <w:t>\</w:t>
            </w:r>
          </w:p>
        </w:tc>
        <w:tc>
          <w:tcPr>
            <w:tcW w:w="4011" w:type="dxa"/>
            <w:tcBorders>
              <w:top w:val="single" w:color="auto" w:sz="4" w:space="0"/>
              <w:left w:val="single" w:color="auto" w:sz="4" w:space="0"/>
              <w:bottom w:val="single" w:color="auto" w:sz="4" w:space="0"/>
              <w:right w:val="single" w:color="auto" w:sz="4" w:space="0"/>
            </w:tcBorders>
            <w:vAlign w:val="center"/>
          </w:tcPr>
          <w:p w14:paraId="530DBA35">
            <w:pPr>
              <w:jc w:val="center"/>
            </w:pPr>
            <w:r>
              <w:rPr>
                <w:rFonts w:hint="eastAsia"/>
              </w:rPr>
              <w:t>geyijun@ccsgcc.com.cn</w:t>
            </w:r>
          </w:p>
        </w:tc>
      </w:tr>
    </w:tbl>
    <w:p w14:paraId="29150E25">
      <w:pPr>
        <w:rPr>
          <w:rFonts w:eastAsia="仿宋_GB2312"/>
          <w:sz w:val="32"/>
        </w:rPr>
      </w:pPr>
    </w:p>
    <w:p w14:paraId="27CC7D3B">
      <w:pPr>
        <w:rPr>
          <w:rFonts w:ascii="宋体" w:hAnsi="宋体"/>
        </w:rPr>
      </w:pPr>
    </w:p>
    <w:p w14:paraId="6AED0777">
      <w:pPr>
        <w:rPr>
          <w:rFonts w:eastAsia="仿宋_GB2312"/>
          <w:sz w:val="32"/>
        </w:rPr>
      </w:pPr>
      <w:r>
        <w:rPr>
          <w:rFonts w:hint="eastAsia"/>
          <w:b/>
          <w:bCs/>
          <w:sz w:val="28"/>
          <w:szCs w:val="28"/>
        </w:rPr>
        <w:t>本公告word版文件获取地址：xt.ccsgcc.com.cn</w:t>
      </w:r>
    </w:p>
    <w:p w14:paraId="22444191">
      <w:pPr>
        <w:rPr>
          <w:rFonts w:ascii="宋体" w:hAnsi="宋体"/>
          <w:sz w:val="24"/>
        </w:rPr>
      </w:pPr>
      <w:r>
        <w:rPr>
          <w:rFonts w:hAnsi="宋体"/>
        </w:rPr>
        <w:br w:type="page"/>
      </w:r>
    </w:p>
    <w:p w14:paraId="2F94095B">
      <w:pPr>
        <w:pStyle w:val="2"/>
        <w:rPr>
          <w:rFonts w:hAnsi="宋体"/>
          <w:kern w:val="0"/>
        </w:rPr>
      </w:pPr>
      <w:r>
        <w:rPr>
          <w:rFonts w:hint="eastAsia" w:hAnsi="宋体"/>
          <w:kern w:val="0"/>
        </w:rPr>
        <w:t>附件一：</w:t>
      </w:r>
    </w:p>
    <w:tbl>
      <w:tblPr>
        <w:tblStyle w:val="5"/>
        <w:tblpPr w:leftFromText="180" w:rightFromText="180" w:vertAnchor="text" w:horzAnchor="margin" w:tblpXSpec="center" w:tblpY="10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59"/>
        <w:gridCol w:w="992"/>
        <w:gridCol w:w="851"/>
        <w:gridCol w:w="992"/>
        <w:gridCol w:w="1759"/>
        <w:gridCol w:w="2210"/>
      </w:tblGrid>
      <w:tr w14:paraId="3BCC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30" w:type="dxa"/>
            <w:gridSpan w:val="7"/>
            <w:tcBorders>
              <w:top w:val="nil"/>
              <w:left w:val="nil"/>
              <w:bottom w:val="single" w:color="auto" w:sz="4" w:space="0"/>
              <w:right w:val="nil"/>
            </w:tcBorders>
            <w:vAlign w:val="center"/>
          </w:tcPr>
          <w:p w14:paraId="5D37ABF1">
            <w:pPr>
              <w:widowControl w:val="0"/>
              <w:spacing w:line="480" w:lineRule="auto"/>
              <w:jc w:val="center"/>
              <w:rPr>
                <w:rFonts w:ascii="宋体" w:hAnsi="宋体"/>
                <w:sz w:val="52"/>
                <w:szCs w:val="52"/>
              </w:rPr>
            </w:pPr>
            <w:r>
              <w:rPr>
                <w:rFonts w:hint="eastAsia" w:ascii="宋体" w:hAnsi="宋体"/>
                <w:sz w:val="52"/>
                <w:szCs w:val="52"/>
              </w:rPr>
              <w:t>投标报名登记表</w:t>
            </w:r>
          </w:p>
        </w:tc>
      </w:tr>
      <w:tr w14:paraId="5386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26" w:type="dxa"/>
            <w:gridSpan w:val="2"/>
            <w:tcBorders>
              <w:top w:val="single" w:color="auto" w:sz="4" w:space="0"/>
            </w:tcBorders>
            <w:vAlign w:val="center"/>
          </w:tcPr>
          <w:p w14:paraId="22C5667F">
            <w:pPr>
              <w:widowControl w:val="0"/>
              <w:spacing w:line="480" w:lineRule="auto"/>
              <w:jc w:val="center"/>
              <w:rPr>
                <w:rFonts w:ascii="宋体" w:hAnsi="宋体"/>
              </w:rPr>
            </w:pPr>
            <w:r>
              <w:rPr>
                <w:rFonts w:hint="eastAsia" w:ascii="宋体" w:hAnsi="宋体"/>
              </w:rPr>
              <w:t>投标编号</w:t>
            </w:r>
          </w:p>
        </w:tc>
        <w:tc>
          <w:tcPr>
            <w:tcW w:w="6804" w:type="dxa"/>
            <w:gridSpan w:val="5"/>
            <w:tcBorders>
              <w:top w:val="single" w:color="auto" w:sz="4" w:space="0"/>
            </w:tcBorders>
            <w:vAlign w:val="center"/>
          </w:tcPr>
          <w:p w14:paraId="09F9E9AF">
            <w:pPr>
              <w:widowControl w:val="0"/>
              <w:spacing w:line="480" w:lineRule="auto"/>
              <w:jc w:val="both"/>
              <w:rPr>
                <w:rFonts w:ascii="宋体" w:hAnsi="宋体"/>
              </w:rPr>
            </w:pPr>
          </w:p>
        </w:tc>
      </w:tr>
      <w:tr w14:paraId="146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26" w:type="dxa"/>
            <w:gridSpan w:val="2"/>
            <w:vAlign w:val="center"/>
          </w:tcPr>
          <w:p w14:paraId="6FA8CB58">
            <w:pPr>
              <w:widowControl w:val="0"/>
              <w:spacing w:line="480" w:lineRule="auto"/>
              <w:jc w:val="center"/>
              <w:rPr>
                <w:rFonts w:ascii="宋体" w:hAnsi="宋体"/>
              </w:rPr>
            </w:pPr>
            <w:r>
              <w:rPr>
                <w:rFonts w:hint="eastAsia" w:ascii="宋体" w:hAnsi="宋体"/>
              </w:rPr>
              <w:t>项目名称</w:t>
            </w:r>
          </w:p>
        </w:tc>
        <w:tc>
          <w:tcPr>
            <w:tcW w:w="6804" w:type="dxa"/>
            <w:gridSpan w:val="5"/>
            <w:vAlign w:val="center"/>
          </w:tcPr>
          <w:p w14:paraId="398DEA74">
            <w:pPr>
              <w:widowControl w:val="0"/>
              <w:spacing w:line="480" w:lineRule="auto"/>
              <w:jc w:val="both"/>
              <w:rPr>
                <w:rFonts w:ascii="宋体" w:hAnsi="宋体"/>
              </w:rPr>
            </w:pPr>
          </w:p>
        </w:tc>
      </w:tr>
      <w:tr w14:paraId="4C27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67" w:type="dxa"/>
            <w:vMerge w:val="restart"/>
            <w:vAlign w:val="center"/>
          </w:tcPr>
          <w:p w14:paraId="7A58C34E">
            <w:pPr>
              <w:widowControl w:val="0"/>
              <w:jc w:val="center"/>
              <w:rPr>
                <w:rFonts w:ascii="宋体" w:hAnsi="宋体"/>
              </w:rPr>
            </w:pPr>
            <w:r>
              <w:rPr>
                <w:rFonts w:hint="eastAsia" w:ascii="宋体" w:hAnsi="宋体"/>
              </w:rPr>
              <w:t>报名单位情况</w:t>
            </w:r>
          </w:p>
        </w:tc>
        <w:tc>
          <w:tcPr>
            <w:tcW w:w="2802" w:type="dxa"/>
            <w:gridSpan w:val="3"/>
            <w:vAlign w:val="center"/>
          </w:tcPr>
          <w:p w14:paraId="3A498AB0">
            <w:pPr>
              <w:widowControl w:val="0"/>
              <w:spacing w:line="480" w:lineRule="auto"/>
              <w:jc w:val="center"/>
              <w:rPr>
                <w:rFonts w:ascii="宋体" w:hAnsi="宋体"/>
              </w:rPr>
            </w:pPr>
            <w:r>
              <w:rPr>
                <w:rFonts w:hint="eastAsia" w:ascii="宋体" w:hAnsi="宋体"/>
              </w:rPr>
              <w:t>单位名称（加盖公章）</w:t>
            </w:r>
          </w:p>
        </w:tc>
        <w:tc>
          <w:tcPr>
            <w:tcW w:w="4961" w:type="dxa"/>
            <w:gridSpan w:val="3"/>
            <w:vAlign w:val="center"/>
          </w:tcPr>
          <w:p w14:paraId="325A4573">
            <w:pPr>
              <w:widowControl w:val="0"/>
              <w:spacing w:line="480" w:lineRule="auto"/>
              <w:jc w:val="both"/>
              <w:rPr>
                <w:rFonts w:ascii="宋体" w:hAnsi="宋体"/>
              </w:rPr>
            </w:pPr>
          </w:p>
        </w:tc>
      </w:tr>
      <w:tr w14:paraId="77A1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30A43B5">
            <w:pPr>
              <w:widowControl w:val="0"/>
              <w:spacing w:line="480" w:lineRule="auto"/>
              <w:jc w:val="both"/>
              <w:rPr>
                <w:rFonts w:ascii="宋体" w:hAnsi="宋体"/>
              </w:rPr>
            </w:pPr>
          </w:p>
        </w:tc>
        <w:tc>
          <w:tcPr>
            <w:tcW w:w="2802" w:type="dxa"/>
            <w:gridSpan w:val="3"/>
            <w:vAlign w:val="center"/>
          </w:tcPr>
          <w:p w14:paraId="0BD42211">
            <w:pPr>
              <w:widowControl w:val="0"/>
              <w:spacing w:line="480" w:lineRule="auto"/>
              <w:jc w:val="center"/>
              <w:rPr>
                <w:rFonts w:ascii="宋体" w:hAnsi="宋体"/>
              </w:rPr>
            </w:pPr>
            <w:r>
              <w:rPr>
                <w:rFonts w:hint="eastAsia" w:ascii="宋体" w:hAnsi="宋体"/>
              </w:rPr>
              <w:t>注册资本金（万元）</w:t>
            </w:r>
          </w:p>
        </w:tc>
        <w:tc>
          <w:tcPr>
            <w:tcW w:w="4961" w:type="dxa"/>
            <w:gridSpan w:val="3"/>
            <w:vAlign w:val="center"/>
          </w:tcPr>
          <w:p w14:paraId="642B9933">
            <w:pPr>
              <w:widowControl w:val="0"/>
              <w:spacing w:line="480" w:lineRule="auto"/>
              <w:jc w:val="both"/>
              <w:rPr>
                <w:rFonts w:ascii="宋体" w:hAnsi="宋体"/>
              </w:rPr>
            </w:pPr>
          </w:p>
        </w:tc>
      </w:tr>
      <w:tr w14:paraId="30F5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D7300A6">
            <w:pPr>
              <w:widowControl w:val="0"/>
              <w:spacing w:line="480" w:lineRule="auto"/>
              <w:jc w:val="both"/>
              <w:rPr>
                <w:rFonts w:ascii="宋体" w:hAnsi="宋体"/>
              </w:rPr>
            </w:pPr>
          </w:p>
        </w:tc>
        <w:tc>
          <w:tcPr>
            <w:tcW w:w="2802" w:type="dxa"/>
            <w:gridSpan w:val="3"/>
            <w:vAlign w:val="center"/>
          </w:tcPr>
          <w:p w14:paraId="3FECD2B8">
            <w:pPr>
              <w:widowControl w:val="0"/>
              <w:spacing w:line="480" w:lineRule="auto"/>
              <w:jc w:val="center"/>
              <w:rPr>
                <w:rFonts w:ascii="宋体" w:hAnsi="宋体"/>
              </w:rPr>
            </w:pPr>
            <w:r>
              <w:rPr>
                <w:rFonts w:hint="eastAsia" w:ascii="宋体" w:hAnsi="宋体"/>
              </w:rPr>
              <w:t>注册地</w:t>
            </w:r>
          </w:p>
        </w:tc>
        <w:tc>
          <w:tcPr>
            <w:tcW w:w="4961" w:type="dxa"/>
            <w:gridSpan w:val="3"/>
            <w:vAlign w:val="center"/>
          </w:tcPr>
          <w:p w14:paraId="7B5CC4C4">
            <w:pPr>
              <w:widowControl w:val="0"/>
              <w:spacing w:line="480" w:lineRule="auto"/>
              <w:jc w:val="both"/>
              <w:rPr>
                <w:rFonts w:ascii="宋体" w:hAnsi="宋体"/>
              </w:rPr>
            </w:pPr>
          </w:p>
        </w:tc>
      </w:tr>
      <w:tr w14:paraId="73FD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7C5F2DF">
            <w:pPr>
              <w:widowControl w:val="0"/>
              <w:spacing w:line="480" w:lineRule="auto"/>
              <w:jc w:val="both"/>
              <w:rPr>
                <w:rFonts w:ascii="宋体" w:hAnsi="宋体"/>
              </w:rPr>
            </w:pPr>
          </w:p>
        </w:tc>
        <w:tc>
          <w:tcPr>
            <w:tcW w:w="1951" w:type="dxa"/>
            <w:gridSpan w:val="2"/>
            <w:vAlign w:val="center"/>
          </w:tcPr>
          <w:p w14:paraId="60032AE1">
            <w:pPr>
              <w:widowControl w:val="0"/>
              <w:spacing w:line="480" w:lineRule="auto"/>
              <w:jc w:val="center"/>
              <w:rPr>
                <w:rFonts w:ascii="宋体" w:hAnsi="宋体"/>
              </w:rPr>
            </w:pPr>
            <w:r>
              <w:rPr>
                <w:rFonts w:hint="eastAsia" w:ascii="宋体" w:hAnsi="宋体"/>
              </w:rPr>
              <w:t>通讯地址</w:t>
            </w:r>
          </w:p>
        </w:tc>
        <w:tc>
          <w:tcPr>
            <w:tcW w:w="5812" w:type="dxa"/>
            <w:gridSpan w:val="4"/>
            <w:vAlign w:val="center"/>
          </w:tcPr>
          <w:p w14:paraId="7490D9B8">
            <w:pPr>
              <w:widowControl w:val="0"/>
              <w:spacing w:line="480" w:lineRule="auto"/>
              <w:jc w:val="both"/>
              <w:rPr>
                <w:rFonts w:ascii="宋体" w:hAnsi="宋体"/>
              </w:rPr>
            </w:pPr>
          </w:p>
        </w:tc>
      </w:tr>
      <w:tr w14:paraId="247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9B8DB1C">
            <w:pPr>
              <w:widowControl w:val="0"/>
              <w:spacing w:line="480" w:lineRule="auto"/>
              <w:jc w:val="both"/>
              <w:rPr>
                <w:rFonts w:ascii="宋体" w:hAnsi="宋体"/>
              </w:rPr>
            </w:pPr>
          </w:p>
        </w:tc>
        <w:tc>
          <w:tcPr>
            <w:tcW w:w="1951" w:type="dxa"/>
            <w:gridSpan w:val="2"/>
            <w:vAlign w:val="center"/>
          </w:tcPr>
          <w:p w14:paraId="23BAAE32">
            <w:pPr>
              <w:widowControl w:val="0"/>
              <w:spacing w:line="480" w:lineRule="auto"/>
              <w:jc w:val="center"/>
              <w:rPr>
                <w:rFonts w:ascii="宋体" w:hAnsi="宋体"/>
              </w:rPr>
            </w:pPr>
            <w:r>
              <w:rPr>
                <w:rFonts w:hint="eastAsia" w:ascii="宋体" w:hAnsi="宋体"/>
              </w:rPr>
              <w:t>邮政编码</w:t>
            </w:r>
          </w:p>
        </w:tc>
        <w:tc>
          <w:tcPr>
            <w:tcW w:w="5812" w:type="dxa"/>
            <w:gridSpan w:val="4"/>
            <w:vAlign w:val="center"/>
          </w:tcPr>
          <w:p w14:paraId="4BB972A7">
            <w:pPr>
              <w:widowControl w:val="0"/>
              <w:spacing w:line="480" w:lineRule="auto"/>
              <w:jc w:val="both"/>
              <w:rPr>
                <w:rFonts w:ascii="宋体" w:hAnsi="宋体"/>
              </w:rPr>
            </w:pPr>
          </w:p>
        </w:tc>
      </w:tr>
      <w:tr w14:paraId="484D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5B5CE92">
            <w:pPr>
              <w:widowControl w:val="0"/>
              <w:spacing w:line="480" w:lineRule="auto"/>
              <w:jc w:val="both"/>
              <w:rPr>
                <w:rFonts w:ascii="宋体" w:hAnsi="宋体"/>
              </w:rPr>
            </w:pPr>
          </w:p>
        </w:tc>
        <w:tc>
          <w:tcPr>
            <w:tcW w:w="1951" w:type="dxa"/>
            <w:gridSpan w:val="2"/>
            <w:vAlign w:val="center"/>
          </w:tcPr>
          <w:p w14:paraId="2AC26F9D">
            <w:pPr>
              <w:widowControl w:val="0"/>
              <w:spacing w:line="480" w:lineRule="auto"/>
              <w:jc w:val="center"/>
              <w:rPr>
                <w:rFonts w:ascii="宋体" w:hAnsi="宋体"/>
              </w:rPr>
            </w:pPr>
            <w:r>
              <w:rPr>
                <w:rFonts w:hint="eastAsia" w:ascii="宋体" w:hAnsi="宋体"/>
              </w:rPr>
              <w:t>单位办公电话</w:t>
            </w:r>
          </w:p>
        </w:tc>
        <w:tc>
          <w:tcPr>
            <w:tcW w:w="5812" w:type="dxa"/>
            <w:gridSpan w:val="4"/>
            <w:vAlign w:val="center"/>
          </w:tcPr>
          <w:p w14:paraId="004092D6">
            <w:pPr>
              <w:widowControl w:val="0"/>
              <w:spacing w:line="480" w:lineRule="auto"/>
              <w:jc w:val="both"/>
              <w:rPr>
                <w:rFonts w:ascii="宋体" w:hAnsi="宋体"/>
              </w:rPr>
            </w:pPr>
          </w:p>
        </w:tc>
      </w:tr>
      <w:tr w14:paraId="3C41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A41BDF7">
            <w:pPr>
              <w:widowControl w:val="0"/>
              <w:spacing w:line="480" w:lineRule="auto"/>
              <w:jc w:val="both"/>
              <w:rPr>
                <w:rFonts w:ascii="宋体" w:hAnsi="宋体"/>
              </w:rPr>
            </w:pPr>
          </w:p>
        </w:tc>
        <w:tc>
          <w:tcPr>
            <w:tcW w:w="1951" w:type="dxa"/>
            <w:gridSpan w:val="2"/>
            <w:vAlign w:val="center"/>
          </w:tcPr>
          <w:p w14:paraId="7721A3F0">
            <w:pPr>
              <w:widowControl w:val="0"/>
              <w:spacing w:line="480" w:lineRule="auto"/>
              <w:jc w:val="center"/>
              <w:rPr>
                <w:rFonts w:ascii="宋体" w:hAnsi="宋体"/>
              </w:rPr>
            </w:pPr>
            <w:r>
              <w:rPr>
                <w:rFonts w:hint="eastAsia" w:ascii="宋体" w:hAnsi="宋体"/>
              </w:rPr>
              <w:t>传真</w:t>
            </w:r>
          </w:p>
        </w:tc>
        <w:tc>
          <w:tcPr>
            <w:tcW w:w="5812" w:type="dxa"/>
            <w:gridSpan w:val="4"/>
            <w:vAlign w:val="center"/>
          </w:tcPr>
          <w:p w14:paraId="609B2E03">
            <w:pPr>
              <w:widowControl w:val="0"/>
              <w:spacing w:line="480" w:lineRule="auto"/>
              <w:jc w:val="both"/>
              <w:rPr>
                <w:rFonts w:ascii="宋体" w:hAnsi="宋体"/>
              </w:rPr>
            </w:pPr>
          </w:p>
        </w:tc>
      </w:tr>
      <w:tr w14:paraId="5ED6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2A2D7BAE">
            <w:pPr>
              <w:widowControl w:val="0"/>
              <w:spacing w:line="480" w:lineRule="auto"/>
              <w:jc w:val="both"/>
              <w:rPr>
                <w:rFonts w:ascii="宋体" w:hAnsi="宋体"/>
              </w:rPr>
            </w:pPr>
          </w:p>
        </w:tc>
        <w:tc>
          <w:tcPr>
            <w:tcW w:w="1951" w:type="dxa"/>
            <w:gridSpan w:val="2"/>
            <w:vAlign w:val="center"/>
          </w:tcPr>
          <w:p w14:paraId="2DEE8652">
            <w:pPr>
              <w:widowControl w:val="0"/>
              <w:spacing w:line="480" w:lineRule="auto"/>
              <w:jc w:val="center"/>
              <w:rPr>
                <w:rFonts w:ascii="宋体" w:hAnsi="宋体"/>
              </w:rPr>
            </w:pPr>
            <w:r>
              <w:rPr>
                <w:rFonts w:hint="eastAsia" w:ascii="宋体" w:hAnsi="宋体"/>
              </w:rPr>
              <w:t>联系人</w:t>
            </w:r>
          </w:p>
        </w:tc>
        <w:tc>
          <w:tcPr>
            <w:tcW w:w="1843" w:type="dxa"/>
            <w:gridSpan w:val="2"/>
            <w:vAlign w:val="center"/>
          </w:tcPr>
          <w:p w14:paraId="32A3D5E6">
            <w:pPr>
              <w:widowControl w:val="0"/>
              <w:spacing w:line="480" w:lineRule="auto"/>
              <w:jc w:val="both"/>
              <w:rPr>
                <w:rFonts w:ascii="宋体" w:hAnsi="宋体"/>
              </w:rPr>
            </w:pPr>
          </w:p>
        </w:tc>
        <w:tc>
          <w:tcPr>
            <w:tcW w:w="1759" w:type="dxa"/>
            <w:vAlign w:val="center"/>
          </w:tcPr>
          <w:p w14:paraId="5251B7CA">
            <w:pPr>
              <w:widowControl w:val="0"/>
              <w:spacing w:line="480" w:lineRule="auto"/>
              <w:jc w:val="center"/>
              <w:rPr>
                <w:rFonts w:ascii="宋体" w:hAnsi="宋体"/>
              </w:rPr>
            </w:pPr>
            <w:r>
              <w:rPr>
                <w:rFonts w:hint="eastAsia" w:ascii="宋体" w:hAnsi="宋体"/>
              </w:rPr>
              <w:t>联系方式</w:t>
            </w:r>
          </w:p>
        </w:tc>
        <w:tc>
          <w:tcPr>
            <w:tcW w:w="2210" w:type="dxa"/>
            <w:vAlign w:val="center"/>
          </w:tcPr>
          <w:p w14:paraId="2404950E">
            <w:pPr>
              <w:widowControl w:val="0"/>
              <w:spacing w:line="480" w:lineRule="auto"/>
              <w:jc w:val="both"/>
              <w:rPr>
                <w:rFonts w:ascii="宋体" w:hAnsi="宋体"/>
              </w:rPr>
            </w:pPr>
          </w:p>
        </w:tc>
      </w:tr>
      <w:tr w14:paraId="5F11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7DA2E2B">
            <w:pPr>
              <w:widowControl w:val="0"/>
              <w:spacing w:line="480" w:lineRule="auto"/>
              <w:jc w:val="both"/>
              <w:rPr>
                <w:rFonts w:ascii="宋体" w:hAnsi="宋体"/>
              </w:rPr>
            </w:pPr>
          </w:p>
        </w:tc>
        <w:tc>
          <w:tcPr>
            <w:tcW w:w="1951" w:type="dxa"/>
            <w:gridSpan w:val="2"/>
            <w:vAlign w:val="center"/>
          </w:tcPr>
          <w:p w14:paraId="082A28BA">
            <w:pPr>
              <w:widowControl w:val="0"/>
              <w:spacing w:line="480" w:lineRule="auto"/>
              <w:jc w:val="center"/>
              <w:rPr>
                <w:rFonts w:ascii="宋体" w:hAnsi="宋体"/>
              </w:rPr>
            </w:pPr>
            <w:r>
              <w:rPr>
                <w:rFonts w:hint="eastAsia" w:ascii="宋体" w:hAnsi="宋体"/>
              </w:rPr>
              <w:t>E-mail</w:t>
            </w:r>
          </w:p>
        </w:tc>
        <w:tc>
          <w:tcPr>
            <w:tcW w:w="5812" w:type="dxa"/>
            <w:gridSpan w:val="4"/>
            <w:vAlign w:val="center"/>
          </w:tcPr>
          <w:p w14:paraId="546919D9">
            <w:pPr>
              <w:widowControl w:val="0"/>
              <w:spacing w:line="480" w:lineRule="auto"/>
              <w:jc w:val="both"/>
              <w:rPr>
                <w:rFonts w:ascii="宋体" w:hAnsi="宋体"/>
              </w:rPr>
            </w:pPr>
          </w:p>
        </w:tc>
      </w:tr>
      <w:tr w14:paraId="1A4A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8330" w:type="dxa"/>
            <w:gridSpan w:val="7"/>
            <w:vAlign w:val="center"/>
          </w:tcPr>
          <w:p w14:paraId="3AE0070C">
            <w:pPr>
              <w:widowControl w:val="0"/>
              <w:spacing w:line="480" w:lineRule="auto"/>
              <w:ind w:firstLine="420" w:firstLineChars="200"/>
              <w:jc w:val="both"/>
              <w:rPr>
                <w:rFonts w:ascii="宋体" w:hAnsi="宋体"/>
                <w:u w:val="single"/>
              </w:rPr>
            </w:pPr>
            <w:r>
              <w:rPr>
                <w:rFonts w:hint="eastAsia" w:ascii="宋体" w:hAnsi="宋体"/>
                <w:u w:val="single"/>
              </w:rPr>
              <w:t xml:space="preserve">    （报名单位  ）     承诺：</w:t>
            </w:r>
          </w:p>
          <w:p w14:paraId="3F7B1F97">
            <w:pPr>
              <w:widowControl w:val="0"/>
              <w:spacing w:line="480" w:lineRule="auto"/>
              <w:ind w:firstLine="420" w:firstLineChars="200"/>
              <w:jc w:val="both"/>
              <w:rPr>
                <w:rFonts w:ascii="宋体" w:hAnsi="宋体"/>
              </w:rPr>
            </w:pPr>
            <w:r>
              <w:rPr>
                <w:rFonts w:hint="eastAsia" w:ascii="宋体" w:hAnsi="宋体"/>
              </w:rPr>
              <w:t>对以上所填内容及招标公告内容均承担判知能力，以上所填内容属实。</w:t>
            </w:r>
          </w:p>
          <w:p w14:paraId="7177C197">
            <w:pPr>
              <w:widowControl w:val="0"/>
              <w:spacing w:line="480" w:lineRule="auto"/>
              <w:ind w:firstLine="5670" w:firstLineChars="2700"/>
              <w:jc w:val="both"/>
              <w:rPr>
                <w:rFonts w:ascii="宋体" w:hAnsi="宋体"/>
              </w:rPr>
            </w:pPr>
            <w:r>
              <w:rPr>
                <w:rFonts w:hint="eastAsia" w:ascii="宋体" w:hAnsi="宋体"/>
              </w:rPr>
              <w:t>年  月  日</w:t>
            </w:r>
          </w:p>
        </w:tc>
      </w:tr>
    </w:tbl>
    <w:p w14:paraId="3C006A19">
      <w:pPr>
        <w:rPr>
          <w:sz w:val="44"/>
          <w:szCs w:val="44"/>
        </w:rPr>
      </w:pPr>
    </w:p>
    <w:p w14:paraId="53EB514F">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Hei-B01">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E13C2"/>
    <w:rsid w:val="0988372F"/>
    <w:rsid w:val="09F54765"/>
    <w:rsid w:val="0D272220"/>
    <w:rsid w:val="17354D49"/>
    <w:rsid w:val="1BB92D2B"/>
    <w:rsid w:val="1F8E13C2"/>
    <w:rsid w:val="263C0693"/>
    <w:rsid w:val="2AD92315"/>
    <w:rsid w:val="2C4341C5"/>
    <w:rsid w:val="2D047A30"/>
    <w:rsid w:val="2DCE2518"/>
    <w:rsid w:val="33F425AD"/>
    <w:rsid w:val="3A43140E"/>
    <w:rsid w:val="411918A4"/>
    <w:rsid w:val="436734D7"/>
    <w:rsid w:val="4F525119"/>
    <w:rsid w:val="51834013"/>
    <w:rsid w:val="542B157D"/>
    <w:rsid w:val="6EB56801"/>
    <w:rsid w:val="704839EC"/>
    <w:rsid w:val="7A2D6DD5"/>
    <w:rsid w:val="7E694F12"/>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ind w:firstLine="480"/>
      <w:jc w:val="both"/>
    </w:pPr>
    <w:rPr>
      <w:rFonts w:ascii="宋体"/>
      <w:kern w:val="2"/>
      <w:sz w:val="24"/>
    </w:rPr>
  </w:style>
  <w:style w:type="paragraph" w:styleId="3">
    <w:name w:val="footer"/>
    <w:basedOn w:val="1"/>
    <w:qFormat/>
    <w:uiPriority w:val="99"/>
    <w:pPr>
      <w:tabs>
        <w:tab w:val="center" w:pos="4153"/>
        <w:tab w:val="right" w:pos="8306"/>
      </w:tabs>
      <w:snapToGrid w:val="0"/>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M76"/>
    <w:basedOn w:val="8"/>
    <w:next w:val="8"/>
    <w:autoRedefine/>
    <w:qFormat/>
    <w:uiPriority w:val="99"/>
    <w:pPr>
      <w:spacing w:after="453"/>
    </w:pPr>
    <w:rPr>
      <w:rFonts w:ascii="FZHei-B01" w:eastAsia="FZHei-B01" w:cs="Times New Roman"/>
      <w:color w:val="auto"/>
    </w:rPr>
  </w:style>
  <w:style w:type="paragraph" w:customStyle="1" w:styleId="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CM79"/>
    <w:basedOn w:val="8"/>
    <w:next w:val="8"/>
    <w:autoRedefine/>
    <w:qFormat/>
    <w:uiPriority w:val="99"/>
    <w:pPr>
      <w:spacing w:after="718"/>
    </w:pPr>
    <w:rPr>
      <w:rFonts w:ascii="FZHei-B01" w:eastAsia="FZHei-B01" w:cs="Times New Roman"/>
      <w:color w:val="auto"/>
    </w:rPr>
  </w:style>
  <w:style w:type="paragraph" w:customStyle="1" w:styleId="10">
    <w:name w:val="CM78"/>
    <w:basedOn w:val="8"/>
    <w:next w:val="8"/>
    <w:autoRedefine/>
    <w:qFormat/>
    <w:uiPriority w:val="99"/>
    <w:pPr>
      <w:spacing w:after="275"/>
    </w:pPr>
    <w:rPr>
      <w:rFonts w:ascii="FZHei-B01" w:eastAsia="FZHei-B01"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3321</Words>
  <Characters>3640</Characters>
  <Lines>0</Lines>
  <Paragraphs>0</Paragraphs>
  <TotalTime>0</TotalTime>
  <ScaleCrop>false</ScaleCrop>
  <LinksUpToDate>false</LinksUpToDate>
  <CharactersWithSpaces>3684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2025-07-31T04:16:00Z</dcterms:created>
  <dc:creator>ㅋㅋㅋ</dc:creator>
  <cp:lastModifiedBy>ㅋㅋㅋ</cp:lastModifiedBy>
  <dcterms:modified xsi:type="dcterms:W3CDTF">2025-12-02T12:04:03Z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DE4C4A36C0EB48678AB8679003FB339D_13</vt:lpwstr>
  </property>
  <property fmtid="{D5CDD505-2E9C-101B-9397-08002B2CF9AE}" pid="4" name="KSOTemplateDocerSaveRecord">
    <vt:lpwstr>eyJoZGlkIjoiNTJlNDA0Y2IyNjNmM2I4MzVjMzRhMDBjZmUzZDljMDgiLCJ1c2VySWQiOiIzODY0Mzg0MzEifQ==</vt:lpwstr>
  </property>
</Properties>
</file>