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EBBACD">
      <w:pPr>
        <w:pStyle w:val="5"/>
        <w:jc w:val="center"/>
        <w:rPr>
          <w:rFonts w:hint="eastAsia" w:ascii="宋体" w:hAnsi="宋体" w:eastAsia="宋体" w:cs="宋体"/>
          <w:sz w:val="32"/>
          <w:szCs w:val="32"/>
          <w:lang w:bidi="ar"/>
        </w:rPr>
      </w:pPr>
      <w:bookmarkStart w:id="0" w:name="_Hlk183179978"/>
      <w:r>
        <w:rPr>
          <w:rFonts w:hint="eastAsia" w:ascii="宋体" w:hAnsi="宋体" w:eastAsia="宋体" w:cs="宋体"/>
          <w:sz w:val="32"/>
          <w:szCs w:val="32"/>
          <w:lang w:bidi="ar"/>
        </w:rPr>
        <w:t>中航建投能源科技（北京）有限公司2026年度</w:t>
      </w:r>
      <w:bookmarkEnd w:id="0"/>
      <w:r>
        <w:rPr>
          <w:rFonts w:hint="eastAsia" w:ascii="宋体" w:hAnsi="宋体" w:eastAsia="宋体" w:cs="宋体"/>
          <w:sz w:val="32"/>
          <w:szCs w:val="32"/>
          <w:lang w:bidi="ar"/>
        </w:rPr>
        <w:t>工程监理服务（第二批次）年度框架采购项目</w:t>
      </w:r>
    </w:p>
    <w:p w14:paraId="216A2B63">
      <w:pPr>
        <w:pStyle w:val="5"/>
        <w:jc w:val="center"/>
        <w:rPr>
          <w:rFonts w:hint="eastAsia" w:ascii="宋体" w:hAnsi="宋体" w:eastAsia="宋体" w:cs="宋体"/>
          <w:sz w:val="32"/>
          <w:szCs w:val="32"/>
          <w:lang w:bidi="ar"/>
        </w:rPr>
      </w:pPr>
      <w:r>
        <w:rPr>
          <w:rFonts w:hint="eastAsia" w:ascii="宋体" w:hAnsi="宋体" w:eastAsia="宋体" w:cs="宋体"/>
          <w:sz w:val="32"/>
          <w:szCs w:val="32"/>
          <w:lang w:bidi="ar"/>
        </w:rPr>
        <w:t>招标公告</w:t>
      </w:r>
    </w:p>
    <w:p w14:paraId="010F2A8B">
      <w:pPr>
        <w:pStyle w:val="7"/>
        <w:jc w:val="both"/>
        <w:outlineLvl w:val="1"/>
        <w:rPr>
          <w:rFonts w:ascii="Times New Roman" w:eastAsia="宋体"/>
          <w:sz w:val="32"/>
          <w:szCs w:val="32"/>
        </w:rPr>
      </w:pPr>
      <w:bookmarkStart w:id="1" w:name="_Toc23947752"/>
      <w:bookmarkStart w:id="2" w:name="_Toc38370759"/>
      <w:r>
        <w:rPr>
          <w:rFonts w:ascii="Times New Roman" w:eastAsia="宋体"/>
          <w:b/>
          <w:bCs/>
          <w:sz w:val="32"/>
          <w:szCs w:val="32"/>
        </w:rPr>
        <w:t xml:space="preserve">1. </w:t>
      </w:r>
      <w:r>
        <w:rPr>
          <w:rFonts w:hint="eastAsia" w:ascii="Times New Roman" w:eastAsia="宋体"/>
          <w:b/>
          <w:bCs/>
          <w:sz w:val="32"/>
          <w:szCs w:val="32"/>
        </w:rPr>
        <w:t>招标条件</w:t>
      </w:r>
      <w:bookmarkEnd w:id="1"/>
      <w:bookmarkEnd w:id="2"/>
    </w:p>
    <w:p w14:paraId="3DDFC51A">
      <w:pPr>
        <w:pStyle w:val="7"/>
        <w:spacing w:line="400" w:lineRule="atLeast"/>
        <w:ind w:firstLine="420" w:firstLineChars="200"/>
        <w:jc w:val="both"/>
        <w:rPr>
          <w:rFonts w:ascii="Times New Roman" w:eastAsia="宋体"/>
          <w:sz w:val="21"/>
          <w:szCs w:val="21"/>
        </w:rPr>
      </w:pPr>
      <w:r>
        <w:rPr>
          <w:rFonts w:hint="eastAsia" w:ascii="Times New Roman" w:eastAsia="宋体"/>
          <w:sz w:val="21"/>
          <w:szCs w:val="21"/>
        </w:rPr>
        <w:t>北京中城汇能咨询服务有限公司受中航建投能源科技（北京）有限公司的委托，现对中航建投能源科技（北京）有限公司2026年度工程监理服务（第二批次）年度框架采购项目（招标编号：</w:t>
      </w:r>
      <w:r>
        <w:rPr>
          <w:rFonts w:ascii="Times New Roman" w:eastAsia="宋体"/>
          <w:sz w:val="21"/>
          <w:szCs w:val="21"/>
        </w:rPr>
        <w:t>NKZB-202</w:t>
      </w:r>
      <w:r>
        <w:rPr>
          <w:rFonts w:hint="eastAsia" w:ascii="Times New Roman" w:eastAsia="宋体"/>
          <w:sz w:val="21"/>
          <w:szCs w:val="21"/>
        </w:rPr>
        <w:t>6</w:t>
      </w:r>
      <w:r>
        <w:rPr>
          <w:rFonts w:ascii="Times New Roman" w:eastAsia="宋体"/>
          <w:sz w:val="21"/>
          <w:szCs w:val="21"/>
        </w:rPr>
        <w:t>0</w:t>
      </w:r>
      <w:r>
        <w:rPr>
          <w:rFonts w:hint="eastAsia" w:ascii="Times New Roman" w:eastAsia="宋体"/>
          <w:sz w:val="21"/>
          <w:szCs w:val="21"/>
        </w:rPr>
        <w:t>8</w:t>
      </w:r>
      <w:r>
        <w:rPr>
          <w:rFonts w:ascii="Times New Roman" w:eastAsia="宋体"/>
          <w:sz w:val="21"/>
          <w:szCs w:val="21"/>
        </w:rPr>
        <w:t>-</w:t>
      </w:r>
      <w:r>
        <w:rPr>
          <w:rFonts w:hint="eastAsia" w:ascii="Times New Roman" w:eastAsia="宋体"/>
          <w:sz w:val="21"/>
          <w:szCs w:val="21"/>
        </w:rPr>
        <w:t>02</w:t>
      </w:r>
      <w:r>
        <w:rPr>
          <w:rFonts w:ascii="Times New Roman" w:eastAsia="宋体"/>
          <w:sz w:val="21"/>
          <w:szCs w:val="21"/>
        </w:rPr>
        <w:t xml:space="preserve"> </w:t>
      </w:r>
      <w:r>
        <w:rPr>
          <w:rFonts w:hint="eastAsia" w:ascii="Times New Roman" w:eastAsia="宋体"/>
          <w:sz w:val="21"/>
          <w:szCs w:val="21"/>
        </w:rPr>
        <w:t>）进行国内公开招标，资金来源：企业自筹。欢迎合格投标人参加投标。</w:t>
      </w:r>
    </w:p>
    <w:p w14:paraId="4C994F89">
      <w:pPr>
        <w:pStyle w:val="7"/>
        <w:jc w:val="both"/>
        <w:outlineLvl w:val="1"/>
        <w:rPr>
          <w:rFonts w:ascii="Times New Roman" w:eastAsia="宋体"/>
          <w:sz w:val="32"/>
          <w:szCs w:val="32"/>
        </w:rPr>
      </w:pPr>
      <w:bookmarkStart w:id="3" w:name="_Toc23947753"/>
      <w:bookmarkStart w:id="4" w:name="_Toc38370760"/>
      <w:r>
        <w:rPr>
          <w:rFonts w:ascii="Times New Roman" w:eastAsia="宋体"/>
          <w:b/>
          <w:bCs/>
          <w:sz w:val="32"/>
          <w:szCs w:val="32"/>
        </w:rPr>
        <w:t xml:space="preserve">2. </w:t>
      </w:r>
      <w:r>
        <w:rPr>
          <w:rFonts w:hint="eastAsia" w:ascii="Times New Roman" w:eastAsia="宋体"/>
          <w:b/>
          <w:bCs/>
          <w:sz w:val="32"/>
          <w:szCs w:val="32"/>
        </w:rPr>
        <w:t>招标范围</w:t>
      </w:r>
      <w:bookmarkEnd w:id="3"/>
      <w:bookmarkEnd w:id="4"/>
    </w:p>
    <w:p w14:paraId="308D1EF3">
      <w:pPr>
        <w:spacing w:line="360" w:lineRule="auto"/>
        <w:ind w:firstLine="420" w:firstLineChars="200"/>
      </w:pPr>
      <w:r>
        <w:t>1</w:t>
      </w:r>
      <w:r>
        <w:rPr>
          <w:rFonts w:hint="eastAsia"/>
        </w:rPr>
        <w:t>、采购项目的名称：</w:t>
      </w:r>
      <w:r>
        <w:rPr>
          <w:rFonts w:hint="eastAsia"/>
          <w:szCs w:val="21"/>
        </w:rPr>
        <w:t>中航建投能源科技（北京）有限公司2026年度工程监理服务（第二批次）年度框架采购项目</w:t>
      </w:r>
      <w:r>
        <w:rPr>
          <w:rFonts w:hint="eastAsia"/>
        </w:rPr>
        <w:t>。</w:t>
      </w:r>
    </w:p>
    <w:p w14:paraId="30E9247F">
      <w:pPr>
        <w:spacing w:line="360" w:lineRule="auto"/>
        <w:ind w:firstLine="420" w:firstLineChars="200"/>
        <w:rPr>
          <w:highlight w:val="yellow"/>
        </w:rPr>
      </w:pPr>
      <w:r>
        <w:rPr>
          <w:rFonts w:hint="eastAsia"/>
          <w:highlight w:val="yellow"/>
        </w:rPr>
        <w:t>2、招标范围：按照国家、行业、地方以及公司有关工程监理要求，开展</w:t>
      </w:r>
      <w:r>
        <w:rPr>
          <w:rFonts w:hint="eastAsia"/>
          <w:color w:val="FF0000"/>
          <w:highlight w:val="yellow"/>
        </w:rPr>
        <w:t>综合能源项目、新能源项目以及能源托管项目</w:t>
      </w:r>
      <w:r>
        <w:rPr>
          <w:rFonts w:hint="eastAsia"/>
          <w:highlight w:val="yellow"/>
        </w:rPr>
        <w:t>工程监理服务工作。工作包括：（1）开工前的前期服务工作，包括但不限于图纸会审、方案及深化设计审核、工程招投标配合等；（2）设计阶段提前熟悉图纸，并提供相关专业意见；（3）参与审查招标人或总承包单位选择的分包单位；（4）审查各承包商施工组织设计、施工技术方案以及安全环保方案等各专项方案，提出改进意见；（5）.参加施工设计交底；（6）检查本工程使用的材料、构件、设备的规格和质量，对于工程所使用的材料经招标人对材料确认后，由监理单位签发材料质量确认证明，总承包单位或分包单位方可使用；（7）所有分部分项工程及检验批的质量验收；（8）督促检查施工技术措施和安全防护设施；（9）确认设计变更、施工现场的签证及审查工程洽商、并将该等变更洽商对工程质量、进度的影响及对造价估算增减定性作综合报告于招标人；（10）检查工程进度和施工质量，验收分部分项工程。（11）进度计划管理：根据发包人的工程计划审批、协调承包商的各项计划并进行分析向委托人提交分析报告。包括施工总控计划、各分项计划、各专项计划及各个时间跨度的计划等。 （12）审核工程进度款之工程量和结算工程量。（13）检查督促承包单位及时整理技术档案资料，按时归档。（14）协助招标人组织各类验收及备案：包括但不限于分段验收及备案、各专项验收及备案、竣工验收及备案。（15）参与工程交付验收。（16）保修期阶段检查工程质量状况、工程质量责任分析及工程保修监督。（17）委托人方临时交办的零星工作。</w:t>
      </w:r>
    </w:p>
    <w:p w14:paraId="7B29FC44">
      <w:pPr>
        <w:spacing w:line="360" w:lineRule="auto"/>
        <w:ind w:firstLine="420" w:firstLineChars="200"/>
      </w:pPr>
      <w:r>
        <w:rPr>
          <w:rFonts w:hint="eastAsia"/>
        </w:rPr>
        <w:t>3、</w:t>
      </w:r>
      <w:bookmarkStart w:id="5" w:name="_Toc38370761"/>
      <w:bookmarkStart w:id="6" w:name="_Toc23947754"/>
      <w:r>
        <w:rPr>
          <w:rFonts w:hint="eastAsia"/>
        </w:rPr>
        <w:t>服务地点：项目所在地。</w:t>
      </w:r>
    </w:p>
    <w:p w14:paraId="14BFBEA2">
      <w:pPr>
        <w:spacing w:line="360" w:lineRule="auto"/>
        <w:ind w:firstLine="420" w:firstLineChars="200"/>
      </w:pPr>
      <w:r>
        <w:rPr>
          <w:rFonts w:hint="eastAsia"/>
        </w:rPr>
        <w:t>服务期：</w:t>
      </w:r>
      <w:r>
        <w:t>365</w:t>
      </w:r>
      <w:r>
        <w:rPr>
          <w:rFonts w:hint="eastAsia"/>
        </w:rPr>
        <w:t>天(具体从签订采购框架协议时间后服务一年，超过一年后本次采购自动终止，超过期限后终止本次采购服务活动)。</w:t>
      </w:r>
    </w:p>
    <w:p w14:paraId="1B00FF22">
      <w:pPr>
        <w:spacing w:line="360" w:lineRule="auto"/>
        <w:ind w:firstLine="420" w:firstLineChars="200"/>
      </w:pPr>
      <w:r>
        <w:t>4</w:t>
      </w:r>
      <w:r>
        <w:rPr>
          <w:rFonts w:hint="eastAsia"/>
        </w:rPr>
        <w:t>、最高限价：最高限价为折扣比例60</w:t>
      </w:r>
      <w:r>
        <w:t xml:space="preserve"> </w:t>
      </w:r>
      <w:r>
        <w:rPr>
          <w:rFonts w:hint="eastAsia"/>
        </w:rPr>
        <w:t>%（含）。</w:t>
      </w:r>
    </w:p>
    <w:p w14:paraId="10486A43">
      <w:pPr>
        <w:spacing w:line="360" w:lineRule="auto"/>
        <w:ind w:firstLine="420" w:firstLineChars="200"/>
      </w:pPr>
      <w:r>
        <w:rPr>
          <w:rFonts w:hint="eastAsia"/>
        </w:rPr>
        <w:t>5、</w:t>
      </w:r>
      <w:r>
        <w:rPr>
          <w:rFonts w:hint="eastAsia" w:ascii="宋体" w:hAnsi="宋体" w:cs="宋体"/>
          <w:szCs w:val="21"/>
        </w:rPr>
        <w:t>本次框架招标合同额</w:t>
      </w:r>
      <w:r>
        <w:rPr>
          <w:rFonts w:hint="eastAsia"/>
        </w:rPr>
        <w:t>约为475.92万元。</w:t>
      </w:r>
    </w:p>
    <w:p w14:paraId="45213494">
      <w:pPr>
        <w:spacing w:line="360" w:lineRule="auto"/>
        <w:ind w:firstLine="420" w:firstLineChars="200"/>
      </w:pPr>
      <w:r>
        <w:rPr>
          <w:rFonts w:hint="eastAsia"/>
        </w:rPr>
        <w:t>6、选取数量：3</w:t>
      </w:r>
      <w:r>
        <w:t>家。</w:t>
      </w:r>
      <w:r>
        <w:rPr>
          <w:rFonts w:hint="eastAsia"/>
        </w:rPr>
        <w:t>（报名家数不满5家，本项目流标）。本次招标采用顺序轮候的方式授予中标方项目，如果顺序轮候到的中标方无法承接项目需进行书面说明，书面说明通过招标人认可的，顺序轮候顺延，如果连续两次无正当理由拒绝承接项目或表示无法承接项目，招标人有权解除合同。</w:t>
      </w:r>
    </w:p>
    <w:bookmarkEnd w:id="5"/>
    <w:bookmarkEnd w:id="6"/>
    <w:p w14:paraId="25EADA00">
      <w:pPr>
        <w:spacing w:line="360" w:lineRule="auto"/>
        <w:rPr>
          <w:b/>
          <w:bCs/>
          <w:sz w:val="32"/>
          <w:szCs w:val="32"/>
        </w:rPr>
      </w:pPr>
      <w:bookmarkStart w:id="7" w:name="_Toc23947757"/>
      <w:bookmarkStart w:id="8" w:name="_Toc38370763"/>
      <w:r>
        <w:rPr>
          <w:b/>
          <w:bCs/>
          <w:sz w:val="32"/>
          <w:szCs w:val="32"/>
        </w:rPr>
        <w:t xml:space="preserve">3. </w:t>
      </w:r>
      <w:r>
        <w:rPr>
          <w:rFonts w:hint="eastAsia"/>
          <w:b/>
          <w:bCs/>
          <w:sz w:val="32"/>
          <w:szCs w:val="32"/>
        </w:rPr>
        <w:t>投标人资格要求</w:t>
      </w:r>
    </w:p>
    <w:p w14:paraId="3DB9E95F">
      <w:pPr>
        <w:spacing w:line="360" w:lineRule="auto"/>
        <w:ind w:firstLine="420" w:firstLineChars="200"/>
      </w:pPr>
      <w:bookmarkStart w:id="9" w:name="_Toc23947755"/>
      <w:r>
        <w:rPr>
          <w:rFonts w:hint="eastAsia"/>
        </w:rPr>
        <w:t>本招标项目资格审查方式采用资格后审。</w:t>
      </w:r>
    </w:p>
    <w:bookmarkEnd w:id="9"/>
    <w:p w14:paraId="203AC445">
      <w:pPr>
        <w:spacing w:line="360" w:lineRule="auto"/>
        <w:ind w:firstLine="420" w:firstLineChars="200"/>
      </w:pPr>
      <w:bookmarkStart w:id="10" w:name="_Toc23947756"/>
      <w:bookmarkStart w:id="11" w:name="_Toc38370762"/>
      <w:r>
        <w:t>3.1</w:t>
      </w:r>
      <w:r>
        <w:rPr>
          <w:rFonts w:hint="eastAsia"/>
        </w:rPr>
        <w:t>投标人必须为中华人民共和国境内设立的具有独立承担民事责任能力和履行合同所必需的设备和专业技术能力的，且必须为已获取招标文件的投标人。</w:t>
      </w:r>
    </w:p>
    <w:p w14:paraId="09884DFB">
      <w:pPr>
        <w:spacing w:line="360" w:lineRule="auto"/>
        <w:ind w:firstLine="420" w:firstLineChars="200"/>
      </w:pPr>
      <w:r>
        <w:rPr>
          <w:rFonts w:hint="eastAsia"/>
        </w:rPr>
        <w:t>3.2财务要求：投标人财务状况良好，资信优良。提供近2023至2025年经审计的财务审计报告（至少含资产负债表、现金流量表、利润表），没有财产被接管冻结或亏损处于破产状况。（若投标人成立时间不足三年，须提供自企业工商注册成立之日起至投标截止日前所有经营年度的经审计财务会计报告，报告内容需覆盖资产负债表、现金流量表、利润表）。</w:t>
      </w:r>
    </w:p>
    <w:p w14:paraId="4D245187">
      <w:pPr>
        <w:spacing w:line="360" w:lineRule="auto"/>
        <w:ind w:firstLine="420" w:firstLineChars="200"/>
      </w:pPr>
      <w:r>
        <w:rPr>
          <w:rFonts w:hint="eastAsia"/>
        </w:rPr>
        <w:t>3.3纳税及社保要求：</w:t>
      </w:r>
      <w:bookmarkStart w:id="12" w:name="_Toc28359003"/>
      <w:r>
        <w:rPr>
          <w:rFonts w:hint="eastAsia"/>
        </w:rPr>
        <w:t>有依法缴纳税收和社会保障资金的良好记录（提供参加本次投标活动前半年内至少一个月依法缴纳税收和社会保障资金的凭据，复印件加盖公章）（提供相关主管部门证明或银行代扣证明的复印件，根据国家相关政策免缴或迟缴的需提供相关证明材料）</w:t>
      </w:r>
      <w:bookmarkEnd w:id="12"/>
      <w:r>
        <w:rPr>
          <w:rFonts w:hint="eastAsia"/>
        </w:rPr>
        <w:t>。</w:t>
      </w:r>
    </w:p>
    <w:p w14:paraId="05587C7E">
      <w:pPr>
        <w:spacing w:line="360" w:lineRule="auto"/>
        <w:ind w:firstLine="420" w:firstLineChars="200"/>
      </w:pPr>
      <w:r>
        <w:rPr>
          <w:rFonts w:hint="eastAsia"/>
        </w:rPr>
        <w:t>3.4信誉要求：投标人在“信用中国”网站（www.creditchina.gov.cn）没有被列入失信被执行人名单。</w:t>
      </w:r>
    </w:p>
    <w:p w14:paraId="2EAC9616">
      <w:pPr>
        <w:spacing w:line="360" w:lineRule="auto"/>
        <w:ind w:firstLine="420" w:firstLineChars="200"/>
      </w:pPr>
      <w:r>
        <w:rPr>
          <w:rFonts w:hint="eastAsia"/>
        </w:rPr>
        <w:t>3.5本项目不接受联合体投标。</w:t>
      </w:r>
    </w:p>
    <w:p w14:paraId="2E069931">
      <w:pPr>
        <w:spacing w:line="360" w:lineRule="auto"/>
        <w:ind w:firstLine="420" w:firstLineChars="200"/>
      </w:pPr>
      <w:r>
        <w:rPr>
          <w:rFonts w:hint="eastAsia"/>
        </w:rPr>
        <w:t>3.6参加投标活动前三年，在经营活动中没有重大违法记录（自行承诺）。</w:t>
      </w:r>
    </w:p>
    <w:p w14:paraId="4E2FC66A">
      <w:pPr>
        <w:spacing w:line="360" w:lineRule="auto"/>
        <w:ind w:firstLine="420" w:firstLineChars="200"/>
        <w:rPr>
          <w:highlight w:val="yellow"/>
        </w:rPr>
      </w:pPr>
      <w:r>
        <w:rPr>
          <w:rFonts w:hint="eastAsia"/>
          <w:highlight w:val="yellow"/>
        </w:rPr>
        <w:t>3</w:t>
      </w:r>
      <w:r>
        <w:rPr>
          <w:highlight w:val="yellow"/>
        </w:rPr>
        <w:t>.7</w:t>
      </w:r>
      <w:r>
        <w:rPr>
          <w:rFonts w:hint="eastAsia"/>
          <w:highlight w:val="yellow"/>
        </w:rPr>
        <w:t>专项资质要求：投标人必须满足以下资质要求:</w:t>
      </w:r>
    </w:p>
    <w:p w14:paraId="19DBB3A4">
      <w:pPr>
        <w:numPr>
          <w:ilvl w:val="0"/>
          <w:numId w:val="1"/>
        </w:numPr>
        <w:spacing w:line="360" w:lineRule="auto"/>
        <w:ind w:firstLine="420" w:firstLineChars="200"/>
        <w:rPr>
          <w:highlight w:val="yellow"/>
        </w:rPr>
      </w:pPr>
      <w:r>
        <w:rPr>
          <w:rFonts w:hint="eastAsia"/>
          <w:highlight w:val="yellow"/>
        </w:rPr>
        <w:t>投标人具有有效的工程监理综合资质或机电工程专业监理乙级及以上资质。</w:t>
      </w:r>
    </w:p>
    <w:p w14:paraId="1C8759F8">
      <w:pPr>
        <w:numPr>
          <w:ilvl w:val="0"/>
          <w:numId w:val="1"/>
        </w:numPr>
        <w:spacing w:line="360" w:lineRule="auto"/>
        <w:ind w:firstLine="420" w:firstLineChars="200"/>
        <w:rPr>
          <w:highlight w:val="yellow"/>
        </w:rPr>
      </w:pPr>
      <w:r>
        <w:rPr>
          <w:rFonts w:hint="eastAsia"/>
          <w:highlight w:val="yellow"/>
        </w:rPr>
        <w:t>派项目负责人具有建设行政主管部门颁发的注册监理工程师证书，并有5年以上从业经验（以注册监理工程师证书发证时间为准）。</w:t>
      </w:r>
    </w:p>
    <w:p w14:paraId="0F934C33">
      <w:pPr>
        <w:spacing w:line="360" w:lineRule="auto"/>
        <w:ind w:firstLine="420" w:firstLineChars="200"/>
        <w:rPr>
          <w:highlight w:val="yellow"/>
        </w:rPr>
      </w:pPr>
      <w:r>
        <w:rPr>
          <w:rFonts w:hint="eastAsia"/>
          <w:highlight w:val="yellow"/>
        </w:rPr>
        <w:t>3</w:t>
      </w:r>
      <w:r>
        <w:rPr>
          <w:highlight w:val="yellow"/>
        </w:rPr>
        <w:t>.8</w:t>
      </w:r>
      <w:r>
        <w:rPr>
          <w:rFonts w:hint="eastAsia"/>
          <w:highlight w:val="yellow"/>
        </w:rPr>
        <w:t>业绩要求：投标人近3年(2023年1月1日至今，以合同签订时间为准)具有6项及以上工程监理业绩(须提供业绩合同扫描件，包括合同封面、能反映内容的清单、签字盖章页)，并同时提供结算增值税发票或阶段性收付款发票(事业单位可提供拨款凭证)，否则该业绩按无效业绩处理。</w:t>
      </w:r>
    </w:p>
    <w:p w14:paraId="20DEF07C">
      <w:pPr>
        <w:spacing w:line="360" w:lineRule="auto"/>
        <w:ind w:firstLine="420" w:firstLineChars="200"/>
        <w:rPr>
          <w:highlight w:val="yellow"/>
        </w:rPr>
      </w:pPr>
      <w:r>
        <w:rPr>
          <w:rFonts w:hint="eastAsia"/>
          <w:lang w:bidi="he-IL"/>
        </w:rPr>
        <w:t>提醒：法定代表人为同一人或者存在控股、管理关系的不同单位，不得参加同一标段投标或者未划分标段的同一招标项目投标。</w:t>
      </w:r>
    </w:p>
    <w:p w14:paraId="23BC821E">
      <w:pPr>
        <w:pStyle w:val="7"/>
        <w:jc w:val="both"/>
        <w:outlineLvl w:val="1"/>
        <w:rPr>
          <w:rFonts w:ascii="Times New Roman" w:eastAsia="黑体"/>
          <w:sz w:val="32"/>
          <w:szCs w:val="32"/>
        </w:rPr>
      </w:pPr>
      <w:r>
        <w:rPr>
          <w:rFonts w:ascii="Times New Roman" w:eastAsia="宋体"/>
          <w:b/>
          <w:bCs/>
          <w:sz w:val="32"/>
          <w:szCs w:val="32"/>
        </w:rPr>
        <w:t xml:space="preserve">4. </w:t>
      </w:r>
      <w:r>
        <w:rPr>
          <w:rFonts w:hint="eastAsia" w:ascii="Times New Roman" w:eastAsia="黑体"/>
          <w:b/>
          <w:sz w:val="32"/>
          <w:szCs w:val="32"/>
        </w:rPr>
        <w:t>招标文件的获取</w:t>
      </w:r>
      <w:bookmarkEnd w:id="10"/>
      <w:bookmarkEnd w:id="11"/>
    </w:p>
    <w:p w14:paraId="11D86DCD">
      <w:pPr>
        <w:spacing w:line="360" w:lineRule="auto"/>
        <w:ind w:firstLine="420" w:firstLineChars="200"/>
        <w:jc w:val="left"/>
        <w:rPr>
          <w:highlight w:val="none"/>
        </w:rPr>
      </w:pPr>
      <w:r>
        <w:rPr>
          <w:rFonts w:hint="eastAsia"/>
        </w:rPr>
        <w:t>4</w:t>
      </w:r>
      <w:r>
        <w:t>.1</w:t>
      </w:r>
      <w:r>
        <w:rPr>
          <w:rFonts w:hint="eastAsia"/>
        </w:rPr>
        <w:t>获取时间：凡满足本公告规定的投标人资格要求并有意参加投标者，</w:t>
      </w:r>
      <w:r>
        <w:rPr>
          <w:rFonts w:hint="eastAsia"/>
          <w:highlight w:val="none"/>
        </w:rPr>
        <w:t>可于</w:t>
      </w:r>
      <w:r>
        <w:rPr>
          <w:highlight w:val="none"/>
        </w:rPr>
        <w:t>202</w:t>
      </w:r>
      <w:r>
        <w:rPr>
          <w:rFonts w:hint="eastAsia"/>
          <w:highlight w:val="none"/>
        </w:rPr>
        <w:t>6年</w:t>
      </w:r>
      <w:r>
        <w:rPr>
          <w:rFonts w:hint="eastAsia"/>
          <w:highlight w:val="none"/>
          <w:lang w:val="en-US" w:eastAsia="zh-CN"/>
        </w:rPr>
        <w:t>9</w:t>
      </w:r>
      <w:r>
        <w:rPr>
          <w:rFonts w:hint="eastAsia"/>
          <w:highlight w:val="none"/>
        </w:rPr>
        <w:t>月</w:t>
      </w:r>
      <w:r>
        <w:rPr>
          <w:rFonts w:hint="eastAsia"/>
          <w:highlight w:val="none"/>
          <w:lang w:val="en-US" w:eastAsia="zh-CN"/>
        </w:rPr>
        <w:t>14</w:t>
      </w:r>
      <w:r>
        <w:rPr>
          <w:rFonts w:hint="eastAsia"/>
          <w:highlight w:val="none"/>
        </w:rPr>
        <w:t>日~</w:t>
      </w:r>
      <w:r>
        <w:rPr>
          <w:highlight w:val="none"/>
        </w:rPr>
        <w:t>202</w:t>
      </w:r>
      <w:r>
        <w:rPr>
          <w:rFonts w:hint="eastAsia"/>
          <w:highlight w:val="none"/>
        </w:rPr>
        <w:t>6年</w:t>
      </w:r>
      <w:r>
        <w:rPr>
          <w:rFonts w:hint="eastAsia"/>
          <w:highlight w:val="none"/>
          <w:lang w:val="en-US" w:eastAsia="zh-CN"/>
        </w:rPr>
        <w:t>9</w:t>
      </w:r>
      <w:r>
        <w:rPr>
          <w:rFonts w:hint="eastAsia"/>
          <w:highlight w:val="none"/>
        </w:rPr>
        <w:t>月</w:t>
      </w:r>
      <w:r>
        <w:rPr>
          <w:rFonts w:hint="eastAsia"/>
          <w:highlight w:val="none"/>
          <w:lang w:val="en-US" w:eastAsia="zh-CN"/>
        </w:rPr>
        <w:t>20</w:t>
      </w:r>
      <w:r>
        <w:rPr>
          <w:rFonts w:hint="eastAsia"/>
          <w:highlight w:val="none"/>
        </w:rPr>
        <w:t>日每日</w:t>
      </w:r>
      <w:r>
        <w:rPr>
          <w:highlight w:val="none"/>
        </w:rPr>
        <w:t>1</w:t>
      </w:r>
      <w:r>
        <w:rPr>
          <w:rFonts w:hint="eastAsia"/>
          <w:highlight w:val="none"/>
        </w:rPr>
        <w:t>7</w:t>
      </w:r>
      <w:r>
        <w:rPr>
          <w:highlight w:val="none"/>
        </w:rPr>
        <w:t>:00</w:t>
      </w:r>
      <w:r>
        <w:rPr>
          <w:rFonts w:hint="eastAsia"/>
          <w:highlight w:val="none"/>
        </w:rPr>
        <w:t>前（北京时间）现场获取招标文件。</w:t>
      </w:r>
    </w:p>
    <w:p w14:paraId="36F90E17">
      <w:pPr>
        <w:spacing w:line="360" w:lineRule="auto"/>
        <w:ind w:firstLine="420" w:firstLineChars="200"/>
        <w:jc w:val="left"/>
      </w:pPr>
      <w:r>
        <w:t>4.2</w:t>
      </w:r>
      <w:r>
        <w:rPr>
          <w:rFonts w:hint="eastAsia"/>
        </w:rPr>
        <w:t>获取招标文件方式：凡有意参加投标者的法定代表人或者法定代表人的授权委托人现场领取或者电子邮件方式提交：</w:t>
      </w:r>
    </w:p>
    <w:p w14:paraId="0B9E602D">
      <w:pPr>
        <w:spacing w:line="360" w:lineRule="auto"/>
        <w:ind w:firstLine="420" w:firstLineChars="200"/>
        <w:jc w:val="left"/>
      </w:pPr>
      <w:r>
        <w:rPr>
          <w:rFonts w:hint="eastAsia"/>
        </w:rPr>
        <w:t>（1）法定代表人现场领取招标文件时应提供：法定代表人的身份证明书（原件）、身份证（复印件加盖公章）、企业营业执照（复印件加盖公章）；</w:t>
      </w:r>
    </w:p>
    <w:p w14:paraId="55DC4D54">
      <w:pPr>
        <w:spacing w:line="360" w:lineRule="auto"/>
        <w:ind w:firstLine="420" w:firstLineChars="200"/>
        <w:jc w:val="left"/>
      </w:pPr>
      <w:r>
        <w:rPr>
          <w:rFonts w:hint="eastAsia"/>
        </w:rPr>
        <w:t>（2）法定代表人的授权委托人现场领取招标文件时应提供：法定代表人的授权委托书（原件）、受委托人身份证（复印件加盖公章）、企业营业执照（复印件加盖公章）。</w:t>
      </w:r>
    </w:p>
    <w:p w14:paraId="7F8F6515">
      <w:pPr>
        <w:spacing w:line="360" w:lineRule="auto"/>
        <w:ind w:firstLine="420" w:firstLineChars="200"/>
        <w:jc w:val="left"/>
        <w:rPr>
          <w:highlight w:val="yellow"/>
        </w:rPr>
      </w:pPr>
      <w:r>
        <w:rPr>
          <w:rFonts w:hint="eastAsia"/>
        </w:rPr>
        <w:t>（3）以电子邮件的形式递交的，将上述招标文件领取资料扫描件及标书工本费转账截图发送至（电子邮箱：geyijun@ccsgcc.com.cn），纸质资料在递交投标文件时一并递交。</w:t>
      </w:r>
    </w:p>
    <w:p w14:paraId="3B25C11A">
      <w:pPr>
        <w:spacing w:line="360" w:lineRule="auto"/>
        <w:ind w:firstLine="420" w:firstLineChars="200"/>
        <w:jc w:val="left"/>
      </w:pPr>
      <w:r>
        <w:t>4.3</w:t>
      </w:r>
      <w:r>
        <w:rPr>
          <w:rFonts w:hint="eastAsia"/>
        </w:rPr>
        <w:t>招标文件售价：</w:t>
      </w:r>
      <w:r>
        <w:rPr>
          <w:rFonts w:hint="eastAsia"/>
          <w:u w:val="single"/>
        </w:rPr>
        <w:t xml:space="preserve">   500      </w:t>
      </w:r>
      <w:r>
        <w:rPr>
          <w:rFonts w:hint="eastAsia"/>
        </w:rPr>
        <w:t>元/套</w:t>
      </w:r>
    </w:p>
    <w:p w14:paraId="326DE0A2">
      <w:pPr>
        <w:spacing w:line="360" w:lineRule="auto"/>
        <w:ind w:firstLine="420" w:firstLineChars="200"/>
        <w:jc w:val="left"/>
      </w:pPr>
      <w:r>
        <w:rPr>
          <w:rFonts w:hint="eastAsia"/>
        </w:rPr>
        <w:t>收款单位：北京中城汇能咨询服务有限公司</w:t>
      </w:r>
    </w:p>
    <w:p w14:paraId="3C4F66B1">
      <w:pPr>
        <w:spacing w:line="360" w:lineRule="auto"/>
        <w:ind w:firstLine="420" w:firstLineChars="200"/>
        <w:jc w:val="left"/>
      </w:pPr>
      <w:r>
        <w:rPr>
          <w:rFonts w:hint="eastAsia"/>
        </w:rPr>
        <w:t xml:space="preserve">地    址：北京市西城区莲花东路106号-汇融大厦B座12层 </w:t>
      </w:r>
    </w:p>
    <w:p w14:paraId="4D2364D9">
      <w:pPr>
        <w:spacing w:line="360" w:lineRule="auto"/>
        <w:ind w:firstLine="420" w:firstLineChars="200"/>
        <w:jc w:val="left"/>
      </w:pPr>
      <w:bookmarkStart w:id="13" w:name="_Hlk164332049"/>
      <w:r>
        <w:rPr>
          <w:rFonts w:hint="eastAsia"/>
        </w:rPr>
        <w:t>开户银行：中国建设银行北京望京支行</w:t>
      </w:r>
    </w:p>
    <w:p w14:paraId="61E0BCC9">
      <w:pPr>
        <w:spacing w:line="360" w:lineRule="auto"/>
        <w:ind w:firstLine="420" w:firstLineChars="200"/>
        <w:jc w:val="left"/>
      </w:pPr>
      <w:r>
        <w:rPr>
          <w:rFonts w:hint="eastAsia"/>
        </w:rPr>
        <w:t>账    号：11050138530000001837</w:t>
      </w:r>
    </w:p>
    <w:bookmarkEnd w:id="13"/>
    <w:p w14:paraId="05B750B3">
      <w:pPr>
        <w:spacing w:line="360" w:lineRule="auto"/>
        <w:ind w:firstLine="420" w:firstLineChars="200"/>
        <w:jc w:val="left"/>
      </w:pPr>
      <w:r>
        <w:rPr>
          <w:rFonts w:hint="eastAsia"/>
        </w:rPr>
        <w:t>联 系 人：葛经理</w:t>
      </w:r>
    </w:p>
    <w:p w14:paraId="649FA929">
      <w:pPr>
        <w:spacing w:line="360" w:lineRule="auto"/>
        <w:ind w:firstLine="420" w:firstLineChars="200"/>
        <w:jc w:val="left"/>
      </w:pPr>
      <w:r>
        <w:rPr>
          <w:rFonts w:hint="eastAsia"/>
        </w:rPr>
        <w:t>联系电话：18021691905</w:t>
      </w:r>
    </w:p>
    <w:p w14:paraId="5C296455">
      <w:pPr>
        <w:pStyle w:val="7"/>
        <w:jc w:val="both"/>
        <w:outlineLvl w:val="1"/>
        <w:rPr>
          <w:rFonts w:ascii="Times New Roman" w:eastAsia="宋体"/>
          <w:b/>
          <w:bCs/>
          <w:sz w:val="32"/>
          <w:szCs w:val="32"/>
        </w:rPr>
      </w:pPr>
      <w:r>
        <w:rPr>
          <w:rFonts w:ascii="Times New Roman" w:eastAsia="宋体"/>
          <w:b/>
          <w:bCs/>
          <w:sz w:val="32"/>
          <w:szCs w:val="32"/>
        </w:rPr>
        <w:t xml:space="preserve">5. </w:t>
      </w:r>
      <w:r>
        <w:rPr>
          <w:rFonts w:hint="eastAsia" w:ascii="Times New Roman" w:eastAsia="宋体"/>
          <w:b/>
          <w:bCs/>
          <w:sz w:val="32"/>
          <w:szCs w:val="32"/>
        </w:rPr>
        <w:t>投标文件的递交</w:t>
      </w:r>
      <w:bookmarkEnd w:id="7"/>
      <w:bookmarkEnd w:id="8"/>
    </w:p>
    <w:p w14:paraId="3AFAF3EF">
      <w:pPr>
        <w:spacing w:line="360" w:lineRule="auto"/>
        <w:ind w:firstLine="420" w:firstLineChars="200"/>
        <w:jc w:val="left"/>
      </w:pPr>
      <w:r>
        <w:rPr>
          <w:rFonts w:hint="eastAsia"/>
        </w:rPr>
        <w:t>1．投标文件递交的截止时间（投标截止时间，下同）为</w:t>
      </w:r>
      <w:r>
        <w:t>202</w:t>
      </w:r>
      <w:r>
        <w:rPr>
          <w:rFonts w:hint="eastAsia"/>
        </w:rPr>
        <w:t>6</w:t>
      </w:r>
      <w:r>
        <w:rPr>
          <w:rFonts w:hint="eastAsia"/>
          <w:highlight w:val="none"/>
        </w:rPr>
        <w:t>年</w:t>
      </w:r>
      <w:r>
        <w:rPr>
          <w:rFonts w:hint="eastAsia"/>
          <w:highlight w:val="none"/>
          <w:lang w:val="en-US" w:eastAsia="zh-CN"/>
        </w:rPr>
        <w:t>10</w:t>
      </w:r>
      <w:r>
        <w:rPr>
          <w:rFonts w:hint="eastAsia"/>
          <w:highlight w:val="none"/>
        </w:rPr>
        <w:t>月</w:t>
      </w:r>
      <w:r>
        <w:rPr>
          <w:rFonts w:hint="eastAsia"/>
          <w:highlight w:val="none"/>
          <w:lang w:val="en-US" w:eastAsia="zh-CN"/>
        </w:rPr>
        <w:t>9</w:t>
      </w:r>
      <w:r>
        <w:rPr>
          <w:rFonts w:hint="eastAsia"/>
          <w:highlight w:val="none"/>
        </w:rPr>
        <w:t>日</w:t>
      </w:r>
      <w:r>
        <w:rPr>
          <w:highlight w:val="none"/>
        </w:rPr>
        <w:t>09</w:t>
      </w:r>
      <w:r>
        <w:rPr>
          <w:rFonts w:hint="eastAsia"/>
          <w:highlight w:val="none"/>
        </w:rPr>
        <w:t>时</w:t>
      </w:r>
      <w:r>
        <w:rPr>
          <w:highlight w:val="none"/>
        </w:rPr>
        <w:t>30</w:t>
      </w:r>
      <w:r>
        <w:rPr>
          <w:rFonts w:hint="eastAsia"/>
          <w:highlight w:val="none"/>
        </w:rPr>
        <w:t>分，</w:t>
      </w:r>
      <w:r>
        <w:rPr>
          <w:rFonts w:hint="eastAsia"/>
        </w:rPr>
        <w:t>地点为：</w:t>
      </w:r>
      <w:r>
        <w:rPr>
          <w:rFonts w:hint="eastAsia"/>
          <w:u w:val="single"/>
        </w:rPr>
        <w:t>北京市西城区莲花东路106号－汇融大厦B座12层</w:t>
      </w:r>
      <w:r>
        <w:t xml:space="preserve"> </w:t>
      </w:r>
      <w:r>
        <w:rPr>
          <w:rFonts w:hint="eastAsia"/>
        </w:rPr>
        <w:t>，要求投标人有效委托代理人持授权委托书现场递交投标文件并参加开标会议。</w:t>
      </w:r>
    </w:p>
    <w:p w14:paraId="486CF69C">
      <w:pPr>
        <w:spacing w:line="360" w:lineRule="auto"/>
        <w:ind w:firstLine="420" w:firstLineChars="200"/>
        <w:jc w:val="left"/>
      </w:pPr>
      <w:r>
        <w:rPr>
          <w:rFonts w:hint="eastAsia"/>
        </w:rPr>
        <w:t>2．逾期送达的或者未送达指定地点的投标文件，招标人不予受理。</w:t>
      </w:r>
    </w:p>
    <w:p w14:paraId="173D8FE6">
      <w:pPr>
        <w:spacing w:line="360" w:lineRule="auto"/>
        <w:ind w:firstLine="420" w:firstLineChars="200"/>
        <w:jc w:val="left"/>
        <w:rPr>
          <w:szCs w:val="21"/>
        </w:rPr>
      </w:pPr>
      <w:r>
        <w:rPr>
          <w:rFonts w:hint="eastAsia"/>
        </w:rPr>
        <w:t>3．投标截止时间及递交地点如有变动，招标人将及时通知所有已购买招标文件的投标人。</w:t>
      </w:r>
    </w:p>
    <w:p w14:paraId="2FC61A23">
      <w:pPr>
        <w:pStyle w:val="7"/>
        <w:jc w:val="both"/>
        <w:outlineLvl w:val="1"/>
        <w:rPr>
          <w:rFonts w:ascii="Times New Roman" w:eastAsia="宋体"/>
          <w:b/>
          <w:bCs/>
          <w:sz w:val="32"/>
          <w:szCs w:val="32"/>
        </w:rPr>
      </w:pPr>
      <w:r>
        <w:rPr>
          <w:rFonts w:ascii="Times New Roman" w:eastAsia="宋体"/>
          <w:b/>
          <w:bCs/>
          <w:sz w:val="32"/>
          <w:szCs w:val="32"/>
        </w:rPr>
        <w:t xml:space="preserve">6. </w:t>
      </w:r>
      <w:r>
        <w:rPr>
          <w:rFonts w:hint="eastAsia" w:ascii="Times New Roman" w:eastAsia="宋体"/>
          <w:b/>
          <w:bCs/>
          <w:sz w:val="32"/>
          <w:szCs w:val="32"/>
        </w:rPr>
        <w:t>联系方式</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540"/>
        <w:gridCol w:w="4011"/>
      </w:tblGrid>
      <w:tr w14:paraId="037C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88" w:type="dxa"/>
            <w:tcBorders>
              <w:top w:val="single" w:color="auto" w:sz="4" w:space="0"/>
              <w:left w:val="single" w:color="auto" w:sz="4" w:space="0"/>
              <w:bottom w:val="single" w:color="auto" w:sz="4" w:space="0"/>
              <w:right w:val="single" w:color="auto" w:sz="4" w:space="0"/>
            </w:tcBorders>
            <w:vAlign w:val="center"/>
          </w:tcPr>
          <w:p w14:paraId="5DE5714D">
            <w:pPr>
              <w:jc w:val="center"/>
            </w:pPr>
          </w:p>
        </w:tc>
        <w:tc>
          <w:tcPr>
            <w:tcW w:w="3540" w:type="dxa"/>
            <w:tcBorders>
              <w:top w:val="single" w:color="auto" w:sz="4" w:space="0"/>
              <w:left w:val="single" w:color="auto" w:sz="4" w:space="0"/>
              <w:bottom w:val="single" w:color="auto" w:sz="4" w:space="0"/>
              <w:right w:val="single" w:color="auto" w:sz="4" w:space="0"/>
            </w:tcBorders>
            <w:vAlign w:val="center"/>
          </w:tcPr>
          <w:p w14:paraId="463886D7">
            <w:pPr>
              <w:jc w:val="center"/>
            </w:pPr>
            <w:r>
              <w:rPr>
                <w:rFonts w:hint="eastAsia"/>
              </w:rPr>
              <w:t>招标人</w:t>
            </w:r>
          </w:p>
        </w:tc>
        <w:tc>
          <w:tcPr>
            <w:tcW w:w="4011" w:type="dxa"/>
            <w:tcBorders>
              <w:top w:val="single" w:color="auto" w:sz="4" w:space="0"/>
              <w:left w:val="single" w:color="auto" w:sz="4" w:space="0"/>
              <w:bottom w:val="single" w:color="auto" w:sz="4" w:space="0"/>
              <w:right w:val="single" w:color="auto" w:sz="4" w:space="0"/>
            </w:tcBorders>
            <w:vAlign w:val="center"/>
          </w:tcPr>
          <w:p w14:paraId="0199C737">
            <w:pPr>
              <w:jc w:val="center"/>
              <w:rPr>
                <w:highlight w:val="yellow"/>
              </w:rPr>
            </w:pPr>
            <w:r>
              <w:rPr>
                <w:rFonts w:hint="eastAsia"/>
              </w:rPr>
              <w:t>招标代理机构</w:t>
            </w:r>
          </w:p>
        </w:tc>
      </w:tr>
      <w:tr w14:paraId="3138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exact"/>
          <w:jc w:val="center"/>
        </w:trPr>
        <w:tc>
          <w:tcPr>
            <w:tcW w:w="1188" w:type="dxa"/>
            <w:tcBorders>
              <w:top w:val="single" w:color="auto" w:sz="4" w:space="0"/>
              <w:left w:val="single" w:color="auto" w:sz="4" w:space="0"/>
              <w:bottom w:val="single" w:color="auto" w:sz="4" w:space="0"/>
              <w:right w:val="single" w:color="auto" w:sz="4" w:space="0"/>
            </w:tcBorders>
            <w:vAlign w:val="center"/>
          </w:tcPr>
          <w:p w14:paraId="527E0B47">
            <w:pPr>
              <w:jc w:val="center"/>
            </w:pPr>
            <w:r>
              <w:rPr>
                <w:rFonts w:hint="eastAsia"/>
              </w:rPr>
              <w:t>单位名称</w:t>
            </w:r>
          </w:p>
        </w:tc>
        <w:tc>
          <w:tcPr>
            <w:tcW w:w="3540" w:type="dxa"/>
            <w:tcBorders>
              <w:top w:val="single" w:color="auto" w:sz="4" w:space="0"/>
              <w:left w:val="single" w:color="auto" w:sz="4" w:space="0"/>
              <w:bottom w:val="single" w:color="auto" w:sz="4" w:space="0"/>
              <w:right w:val="single" w:color="auto" w:sz="4" w:space="0"/>
            </w:tcBorders>
            <w:vAlign w:val="center"/>
          </w:tcPr>
          <w:p w14:paraId="48837A7E">
            <w:pPr>
              <w:jc w:val="center"/>
            </w:pPr>
            <w:r>
              <w:rPr>
                <w:rFonts w:hint="eastAsia"/>
                <w:szCs w:val="21"/>
              </w:rPr>
              <w:t>中航建投能源科技（北京）有限公司</w:t>
            </w:r>
          </w:p>
        </w:tc>
        <w:tc>
          <w:tcPr>
            <w:tcW w:w="4011" w:type="dxa"/>
            <w:tcBorders>
              <w:top w:val="single" w:color="auto" w:sz="4" w:space="0"/>
              <w:left w:val="single" w:color="auto" w:sz="4" w:space="0"/>
              <w:bottom w:val="single" w:color="auto" w:sz="4" w:space="0"/>
              <w:right w:val="single" w:color="auto" w:sz="4" w:space="0"/>
            </w:tcBorders>
            <w:vAlign w:val="center"/>
          </w:tcPr>
          <w:p w14:paraId="76FF0A3D">
            <w:pPr>
              <w:spacing w:line="360" w:lineRule="auto"/>
              <w:ind w:left="544" w:leftChars="186" w:hanging="153" w:hangingChars="73"/>
              <w:jc w:val="center"/>
              <w:rPr>
                <w:highlight w:val="yellow"/>
              </w:rPr>
            </w:pPr>
            <w:r>
              <w:rPr>
                <w:rFonts w:hint="eastAsia"/>
              </w:rPr>
              <w:t xml:space="preserve">北京中城汇能咨询服务有限公司  </w:t>
            </w:r>
          </w:p>
        </w:tc>
      </w:tr>
      <w:tr w14:paraId="3C83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exact"/>
          <w:jc w:val="center"/>
        </w:trPr>
        <w:tc>
          <w:tcPr>
            <w:tcW w:w="1188" w:type="dxa"/>
            <w:tcBorders>
              <w:top w:val="single" w:color="auto" w:sz="4" w:space="0"/>
              <w:left w:val="single" w:color="auto" w:sz="4" w:space="0"/>
              <w:bottom w:val="single" w:color="auto" w:sz="4" w:space="0"/>
              <w:right w:val="single" w:color="auto" w:sz="4" w:space="0"/>
            </w:tcBorders>
            <w:vAlign w:val="center"/>
          </w:tcPr>
          <w:p w14:paraId="67E58923">
            <w:pPr>
              <w:jc w:val="center"/>
            </w:pPr>
            <w:r>
              <w:rPr>
                <w:rFonts w:hint="eastAsia"/>
              </w:rPr>
              <w:t>地址</w:t>
            </w:r>
          </w:p>
        </w:tc>
        <w:tc>
          <w:tcPr>
            <w:tcW w:w="3540" w:type="dxa"/>
            <w:tcBorders>
              <w:top w:val="single" w:color="auto" w:sz="4" w:space="0"/>
              <w:left w:val="single" w:color="auto" w:sz="4" w:space="0"/>
              <w:bottom w:val="single" w:color="auto" w:sz="4" w:space="0"/>
              <w:right w:val="single" w:color="auto" w:sz="4" w:space="0"/>
            </w:tcBorders>
            <w:vAlign w:val="center"/>
          </w:tcPr>
          <w:p w14:paraId="6BCAEE69">
            <w:pPr>
              <w:jc w:val="center"/>
              <w:rPr>
                <w:szCs w:val="21"/>
              </w:rPr>
            </w:pPr>
            <w:r>
              <w:rPr>
                <w:rFonts w:hint="eastAsia"/>
                <w:szCs w:val="21"/>
              </w:rPr>
              <w:t>北京市朝阳区北苑路58号航空科技大厦B座10层</w:t>
            </w:r>
          </w:p>
        </w:tc>
        <w:tc>
          <w:tcPr>
            <w:tcW w:w="4011" w:type="dxa"/>
            <w:tcBorders>
              <w:top w:val="single" w:color="auto" w:sz="4" w:space="0"/>
              <w:left w:val="single" w:color="auto" w:sz="4" w:space="0"/>
              <w:bottom w:val="single" w:color="auto" w:sz="4" w:space="0"/>
              <w:right w:val="single" w:color="auto" w:sz="4" w:space="0"/>
            </w:tcBorders>
            <w:vAlign w:val="center"/>
          </w:tcPr>
          <w:p w14:paraId="63292528">
            <w:pPr>
              <w:spacing w:line="360" w:lineRule="auto"/>
              <w:ind w:left="544" w:leftChars="186" w:hanging="153" w:hangingChars="73"/>
              <w:jc w:val="center"/>
              <w:rPr>
                <w:highlight w:val="yellow"/>
              </w:rPr>
            </w:pPr>
            <w:r>
              <w:rPr>
                <w:rFonts w:hint="eastAsia"/>
              </w:rPr>
              <w:t>北京市西城区莲花东路106号</w:t>
            </w:r>
            <w:r>
              <w:t>－</w:t>
            </w:r>
            <w:r>
              <w:rPr>
                <w:rFonts w:hint="eastAsia"/>
              </w:rPr>
              <w:t>汇融大厦B座12层</w:t>
            </w:r>
          </w:p>
        </w:tc>
      </w:tr>
      <w:tr w14:paraId="7D49C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88" w:type="dxa"/>
            <w:tcBorders>
              <w:top w:val="single" w:color="auto" w:sz="4" w:space="0"/>
              <w:left w:val="single" w:color="auto" w:sz="4" w:space="0"/>
              <w:bottom w:val="single" w:color="auto" w:sz="4" w:space="0"/>
              <w:right w:val="single" w:color="auto" w:sz="4" w:space="0"/>
            </w:tcBorders>
            <w:vAlign w:val="center"/>
          </w:tcPr>
          <w:p w14:paraId="1859DCDF">
            <w:pPr>
              <w:jc w:val="center"/>
            </w:pPr>
            <w:r>
              <w:rPr>
                <w:rFonts w:hint="eastAsia"/>
              </w:rPr>
              <w:t>联系人</w:t>
            </w:r>
          </w:p>
        </w:tc>
        <w:tc>
          <w:tcPr>
            <w:tcW w:w="3540" w:type="dxa"/>
            <w:tcBorders>
              <w:top w:val="single" w:color="auto" w:sz="4" w:space="0"/>
              <w:left w:val="single" w:color="auto" w:sz="4" w:space="0"/>
              <w:bottom w:val="single" w:color="auto" w:sz="4" w:space="0"/>
              <w:right w:val="single" w:color="auto" w:sz="4" w:space="0"/>
            </w:tcBorders>
            <w:vAlign w:val="center"/>
          </w:tcPr>
          <w:p w14:paraId="4A7B058B">
            <w:pPr>
              <w:jc w:val="center"/>
              <w:rPr>
                <w:rFonts w:hint="eastAsia" w:eastAsia="宋体"/>
                <w:szCs w:val="21"/>
                <w:lang w:val="en-US" w:eastAsia="zh-CN"/>
              </w:rPr>
            </w:pPr>
            <w:r>
              <w:rPr>
                <w:rFonts w:hint="eastAsia"/>
                <w:szCs w:val="21"/>
              </w:rPr>
              <w:t>张</w:t>
            </w:r>
            <w:r>
              <w:rPr>
                <w:rFonts w:hint="eastAsia"/>
                <w:szCs w:val="21"/>
                <w:lang w:val="en-US" w:eastAsia="zh-CN"/>
              </w:rPr>
              <w:t>经理</w:t>
            </w:r>
            <w:bookmarkStart w:id="14" w:name="_GoBack"/>
            <w:bookmarkEnd w:id="14"/>
          </w:p>
        </w:tc>
        <w:tc>
          <w:tcPr>
            <w:tcW w:w="4011" w:type="dxa"/>
            <w:tcBorders>
              <w:top w:val="single" w:color="auto" w:sz="4" w:space="0"/>
              <w:left w:val="single" w:color="auto" w:sz="4" w:space="0"/>
              <w:bottom w:val="single" w:color="auto" w:sz="4" w:space="0"/>
              <w:right w:val="single" w:color="auto" w:sz="4" w:space="0"/>
            </w:tcBorders>
            <w:vAlign w:val="center"/>
          </w:tcPr>
          <w:p w14:paraId="6C90779D">
            <w:pPr>
              <w:spacing w:line="360" w:lineRule="auto"/>
              <w:ind w:left="544" w:leftChars="186" w:hanging="153" w:hangingChars="73"/>
              <w:jc w:val="center"/>
              <w:rPr>
                <w:highlight w:val="yellow"/>
              </w:rPr>
            </w:pPr>
            <w:r>
              <w:rPr>
                <w:rFonts w:hint="eastAsia"/>
              </w:rPr>
              <w:t>葛经理</w:t>
            </w:r>
          </w:p>
        </w:tc>
      </w:tr>
      <w:tr w14:paraId="2F86C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88" w:type="dxa"/>
            <w:tcBorders>
              <w:top w:val="single" w:color="auto" w:sz="4" w:space="0"/>
              <w:left w:val="single" w:color="auto" w:sz="4" w:space="0"/>
              <w:bottom w:val="single" w:color="auto" w:sz="4" w:space="0"/>
              <w:right w:val="single" w:color="auto" w:sz="4" w:space="0"/>
            </w:tcBorders>
            <w:vAlign w:val="center"/>
          </w:tcPr>
          <w:p w14:paraId="12206ABD">
            <w:pPr>
              <w:jc w:val="center"/>
            </w:pPr>
            <w:r>
              <w:rPr>
                <w:rFonts w:hint="eastAsia"/>
              </w:rPr>
              <w:t>电话</w:t>
            </w:r>
          </w:p>
        </w:tc>
        <w:tc>
          <w:tcPr>
            <w:tcW w:w="3540" w:type="dxa"/>
            <w:tcBorders>
              <w:top w:val="single" w:color="auto" w:sz="4" w:space="0"/>
              <w:left w:val="single" w:color="auto" w:sz="4" w:space="0"/>
              <w:bottom w:val="single" w:color="auto" w:sz="4" w:space="0"/>
              <w:right w:val="single" w:color="auto" w:sz="4" w:space="0"/>
            </w:tcBorders>
            <w:vAlign w:val="center"/>
          </w:tcPr>
          <w:p w14:paraId="00AB8358">
            <w:pPr>
              <w:jc w:val="center"/>
            </w:pPr>
            <w:r>
              <w:rPr>
                <w:rFonts w:hint="eastAsia"/>
                <w:szCs w:val="21"/>
              </w:rPr>
              <w:t>15031597931</w:t>
            </w:r>
          </w:p>
        </w:tc>
        <w:tc>
          <w:tcPr>
            <w:tcW w:w="4011" w:type="dxa"/>
            <w:tcBorders>
              <w:top w:val="single" w:color="auto" w:sz="4" w:space="0"/>
              <w:left w:val="single" w:color="auto" w:sz="4" w:space="0"/>
              <w:bottom w:val="single" w:color="auto" w:sz="4" w:space="0"/>
              <w:right w:val="single" w:color="auto" w:sz="4" w:space="0"/>
            </w:tcBorders>
            <w:vAlign w:val="center"/>
          </w:tcPr>
          <w:p w14:paraId="4EDA80AA">
            <w:pPr>
              <w:spacing w:line="360" w:lineRule="auto"/>
              <w:ind w:left="544" w:leftChars="186" w:hanging="153" w:hangingChars="73"/>
              <w:jc w:val="center"/>
              <w:rPr>
                <w:highlight w:val="yellow"/>
              </w:rPr>
            </w:pPr>
            <w:r>
              <w:rPr>
                <w:rFonts w:hint="eastAsia"/>
              </w:rPr>
              <w:t>18021691905</w:t>
            </w:r>
          </w:p>
        </w:tc>
      </w:tr>
      <w:tr w14:paraId="6CCA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88" w:type="dxa"/>
            <w:tcBorders>
              <w:top w:val="single" w:color="auto" w:sz="4" w:space="0"/>
              <w:left w:val="single" w:color="auto" w:sz="4" w:space="0"/>
              <w:bottom w:val="single" w:color="auto" w:sz="4" w:space="0"/>
              <w:right w:val="single" w:color="auto" w:sz="4" w:space="0"/>
            </w:tcBorders>
            <w:vAlign w:val="center"/>
          </w:tcPr>
          <w:p w14:paraId="61A73AC5">
            <w:pPr>
              <w:jc w:val="center"/>
            </w:pPr>
            <w:r>
              <w:rPr>
                <w:rFonts w:hint="eastAsia"/>
              </w:rPr>
              <w:t>电子邮箱</w:t>
            </w:r>
          </w:p>
        </w:tc>
        <w:tc>
          <w:tcPr>
            <w:tcW w:w="3540" w:type="dxa"/>
            <w:tcBorders>
              <w:top w:val="single" w:color="auto" w:sz="4" w:space="0"/>
              <w:left w:val="single" w:color="auto" w:sz="4" w:space="0"/>
              <w:bottom w:val="single" w:color="auto" w:sz="4" w:space="0"/>
              <w:right w:val="single" w:color="auto" w:sz="4" w:space="0"/>
            </w:tcBorders>
            <w:vAlign w:val="center"/>
          </w:tcPr>
          <w:p w14:paraId="67867CDE">
            <w:pPr>
              <w:jc w:val="center"/>
            </w:pPr>
            <w:r>
              <w:rPr>
                <w:rFonts w:hint="eastAsia"/>
                <w:szCs w:val="21"/>
              </w:rPr>
              <w:t>1157350303@qq.com</w:t>
            </w:r>
          </w:p>
        </w:tc>
        <w:tc>
          <w:tcPr>
            <w:tcW w:w="4011" w:type="dxa"/>
            <w:tcBorders>
              <w:top w:val="single" w:color="auto" w:sz="4" w:space="0"/>
              <w:left w:val="single" w:color="auto" w:sz="4" w:space="0"/>
              <w:bottom w:val="single" w:color="auto" w:sz="4" w:space="0"/>
              <w:right w:val="single" w:color="auto" w:sz="4" w:space="0"/>
            </w:tcBorders>
            <w:vAlign w:val="center"/>
          </w:tcPr>
          <w:p w14:paraId="2D7140AB">
            <w:pPr>
              <w:jc w:val="center"/>
              <w:rPr>
                <w:highlight w:val="yellow"/>
              </w:rPr>
            </w:pPr>
            <w:r>
              <w:rPr>
                <w:rFonts w:hint="eastAsia"/>
              </w:rPr>
              <w:t>geyijun@ccsgcc.com.cn</w:t>
            </w:r>
          </w:p>
        </w:tc>
      </w:tr>
    </w:tbl>
    <w:p w14:paraId="711DB027">
      <w:pPr>
        <w:pStyle w:val="2"/>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黑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2925E9"/>
    <w:multiLevelType w:val="singleLevel"/>
    <w:tmpl w:val="622925E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612DA1"/>
    <w:rsid w:val="3FEB74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0"/>
    <w:pPr>
      <w:ind w:firstLine="574"/>
    </w:pPr>
    <w:rPr>
      <w:rFonts w:eastAsia="仿宋_GB2312"/>
      <w:sz w:val="32"/>
      <w:szCs w:val="20"/>
    </w:rPr>
  </w:style>
  <w:style w:type="paragraph" w:customStyle="1" w:styleId="5">
    <w:name w:val="CM79"/>
    <w:basedOn w:val="6"/>
    <w:next w:val="6"/>
    <w:qFormat/>
    <w:uiPriority w:val="99"/>
    <w:pPr>
      <w:spacing w:after="718"/>
    </w:pPr>
    <w:rPr>
      <w:rFonts w:cs="Times New Roman"/>
      <w:color w:val="auto"/>
    </w:rPr>
  </w:style>
  <w:style w:type="paragraph" w:customStyle="1" w:styleId="6">
    <w:name w:val="Default"/>
    <w:qFormat/>
    <w:uiPriority w:val="0"/>
    <w:pPr>
      <w:widowControl w:val="0"/>
      <w:autoSpaceDE w:val="0"/>
      <w:autoSpaceDN w:val="0"/>
      <w:adjustRightInd w:val="0"/>
    </w:pPr>
    <w:rPr>
      <w:rFonts w:ascii="方正黑体_GBK" w:hAnsi="Times New Roman" w:eastAsia="方正黑体_GBK" w:cs="方正黑体_GBK"/>
      <w:color w:val="000000"/>
      <w:sz w:val="24"/>
      <w:szCs w:val="24"/>
      <w:lang w:val="en-US" w:eastAsia="zh-CN" w:bidi="ar-SA"/>
    </w:rPr>
  </w:style>
  <w:style w:type="paragraph" w:customStyle="1" w:styleId="7">
    <w:name w:val="CM78"/>
    <w:basedOn w:val="6"/>
    <w:next w:val="6"/>
    <w:qFormat/>
    <w:uiPriority w:val="99"/>
    <w:pPr>
      <w:spacing w:after="275"/>
    </w:pPr>
    <w:rPr>
      <w:rFonts w:cs="Times New Roman"/>
      <w:color w:val="auto"/>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2026-09-14T02:02:42Z</dcterms:created>
  <dc:creator>90327</dc:creator>
  <cp:lastModifiedBy>ㅋㅋㅋ</cp:lastModifiedBy>
  <dcterms:modified xsi:type="dcterms:W3CDTF">2026-09-14T02:03:16Z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eyJoZGlkIjoiNTJlNDA0Y2IyNjNmM2I4MzVjMzRhMDBjZmUzZDljMDgiLCJ1c2VySWQiOiIzODY0Mzg0MzEifQ==</vt:lpwstr>
  </property>
  <property fmtid="{D5CDD505-2E9C-101B-9397-08002B2CF9AE}" pid="4" name="ICV">
    <vt:lpwstr>894EEA1BD6C54807B1D70ADCB0CF1CB4_12</vt:lpwstr>
  </property>
</Properties>
</file>